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both"/>
        <w:textAlignment w:val="auto"/>
        <w:outlineLvl w:val="9"/>
        <w:rPr>
          <w:rFonts w:hint="default" w:ascii="方正小标宋简体" w:hAnsi="方正小标宋简体" w:eastAsia="方正小标宋简体" w:cs="方正小标宋简体"/>
          <w:sz w:val="36"/>
          <w:szCs w:val="36"/>
          <w:lang w:val="en-US"/>
        </w:rPr>
      </w:pPr>
      <w:r>
        <w:rPr>
          <w:rFonts w:hint="eastAsia" w:ascii="仿宋_GB2312" w:hAnsi="仿宋_GB2312" w:eastAsia="仿宋_GB2312" w:cs="仿宋_GB2312"/>
          <w:sz w:val="32"/>
          <w:szCs w:val="32"/>
          <w:lang w:val="en" w:eastAsia="zh-CN"/>
        </w:rPr>
        <w:t>附件</w:t>
      </w:r>
      <w:r>
        <w:rPr>
          <w:rFonts w:hint="eastAsia" w:ascii="仿宋_GB2312" w:hAnsi="仿宋_GB2312" w:eastAsia="仿宋_GB2312" w:cs="仿宋_GB2312"/>
          <w:sz w:val="32"/>
          <w:szCs w:val="32"/>
          <w:lang w:val="en-US" w:eastAsia="zh-CN"/>
        </w:rPr>
        <w:t>17</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default" w:ascii="方正小标宋简体" w:hAnsi="方正小标宋简体" w:eastAsia="方正小标宋简体" w:cs="方正小标宋简体"/>
          <w:sz w:val="44"/>
          <w:szCs w:val="44"/>
          <w:lang w:val="en"/>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w:t>
      </w:r>
      <w:r>
        <w:rPr>
          <w:rFonts w:hint="eastAsia" w:ascii="方正小标宋简体" w:hAnsi="方正小标宋简体" w:eastAsia="方正小标宋简体" w:cs="方正小标宋简体"/>
          <w:sz w:val="44"/>
          <w:szCs w:val="44"/>
          <w:lang w:eastAsia="zh-CN"/>
        </w:rPr>
        <w:t>中央</w:t>
      </w:r>
      <w:r>
        <w:rPr>
          <w:rFonts w:hint="default" w:ascii="方正小标宋简体" w:hAnsi="方正小标宋简体" w:eastAsia="方正小标宋简体" w:cs="方正小标宋简体"/>
          <w:sz w:val="44"/>
          <w:szCs w:val="44"/>
          <w:lang w:val="en"/>
        </w:rPr>
        <w:t>财政耕地建设与利用</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US" w:eastAsia="zh-CN"/>
        </w:rPr>
        <w:t>（</w:t>
      </w:r>
      <w:r>
        <w:rPr>
          <w:rFonts w:hint="default" w:ascii="方正小标宋简体" w:hAnsi="方正小标宋简体" w:eastAsia="方正小标宋简体" w:cs="方正小标宋简体"/>
          <w:sz w:val="44"/>
          <w:szCs w:val="44"/>
          <w:lang w:val="en"/>
        </w:rPr>
        <w:t>化肥减量增效</w:t>
      </w:r>
      <w:r>
        <w:rPr>
          <w:rFonts w:hint="eastAsia" w:ascii="方正小标宋简体" w:hAnsi="方正小标宋简体" w:eastAsia="方正小标宋简体" w:cs="方正小标宋简体"/>
          <w:sz w:val="44"/>
          <w:szCs w:val="44"/>
          <w:lang w:val="en" w:eastAsia="zh-CN"/>
        </w:rPr>
        <w:t>）</w:t>
      </w:r>
      <w:r>
        <w:rPr>
          <w:rFonts w:hint="default" w:ascii="方正小标宋简体" w:hAnsi="方正小标宋简体" w:eastAsia="方正小标宋简体" w:cs="方正小标宋简体"/>
          <w:sz w:val="44"/>
          <w:szCs w:val="44"/>
          <w:lang w:val="en"/>
        </w:rPr>
        <w:t>项目</w:t>
      </w:r>
      <w:r>
        <w:rPr>
          <w:rFonts w:hint="eastAsia" w:ascii="方正小标宋简体" w:hAnsi="方正小标宋简体" w:eastAsia="方正小标宋简体" w:cs="方正小标宋简体"/>
          <w:sz w:val="44"/>
          <w:szCs w:val="44"/>
          <w:lang w:val="en" w:eastAsia="zh-CN"/>
        </w:rPr>
        <w:t>资金</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方正小标宋简体" w:eastAsia="方正小标宋简体"/>
          <w:sz w:val="44"/>
          <w:szCs w:val="44"/>
          <w:lang w:eastAsia="zh-CN"/>
        </w:rPr>
      </w:pPr>
      <w:r>
        <w:rPr>
          <w:rFonts w:hint="eastAsia" w:ascii="方正小标宋简体" w:hAnsi="方正小标宋简体" w:eastAsia="方正小标宋简体" w:cs="方正小标宋简体"/>
          <w:sz w:val="44"/>
          <w:szCs w:val="44"/>
          <w:lang w:val="en-US" w:eastAsia="zh-CN"/>
        </w:rPr>
        <w:t>绩效自评报告</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center"/>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黑体" w:hAnsi="黑体" w:eastAsia="黑体"/>
          <w:sz w:val="32"/>
          <w:szCs w:val="32"/>
          <w:lang w:val="en" w:eastAsia="zh-CN"/>
        </w:rPr>
      </w:pPr>
      <w:r>
        <w:rPr>
          <w:rFonts w:hint="eastAsia" w:ascii="黑体" w:hAnsi="黑体" w:eastAsia="黑体"/>
          <w:sz w:val="32"/>
          <w:szCs w:val="32"/>
        </w:rPr>
        <w:t>一、</w:t>
      </w:r>
      <w:r>
        <w:rPr>
          <w:rFonts w:hint="eastAsia" w:ascii="黑体" w:hAnsi="黑体" w:eastAsia="黑体"/>
          <w:sz w:val="32"/>
          <w:szCs w:val="32"/>
          <w:lang w:eastAsia="zh-CN"/>
        </w:rPr>
        <w:t>绩效目标分解下达情况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根据《甘肃省财政厅关于下达2024年中央财政耕地建设与利用资金的通知》（甘财农〔2024〕39号）、《甘肃省农业农村厅关</w:t>
      </w:r>
      <w:r>
        <w:rPr>
          <w:rFonts w:hint="eastAsia" w:ascii="仿宋_GB2312" w:hAnsi="仿宋_GB2312" w:eastAsia="仿宋_GB2312" w:cs="仿宋_GB2312"/>
          <w:sz w:val="32"/>
          <w:szCs w:val="32"/>
          <w:lang w:eastAsia="zh-CN"/>
        </w:rPr>
        <w:t>于下达</w:t>
      </w:r>
      <w:r>
        <w:rPr>
          <w:rFonts w:hint="eastAsia" w:ascii="仿宋_GB2312" w:hAnsi="仿宋_GB2312" w:eastAsia="仿宋_GB2312" w:cs="仿宋_GB2312"/>
          <w:sz w:val="32"/>
          <w:szCs w:val="32"/>
          <w:lang w:val="en-US" w:eastAsia="zh-CN"/>
        </w:rPr>
        <w:t>2024年中央财政耕地建设与利用资金计划的通知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甘农财发</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30号）精神，省财政厅下达兰州新区2024年中央财政耕地建设与利用资金（化肥减量增效）8万元，用于开展测土配方施肥等基础性工作。省上下达新区</w:t>
      </w:r>
      <w:r>
        <w:rPr>
          <w:rFonts w:hint="eastAsia" w:ascii="仿宋_GB2312" w:hAnsi="仿宋_GB2312" w:eastAsia="仿宋_GB2312" w:cs="仿宋_GB2312"/>
          <w:sz w:val="32"/>
          <w:szCs w:val="32"/>
          <w:highlight w:val="none"/>
        </w:rPr>
        <w:t>年度绩效总体目标为</w:t>
      </w:r>
      <w:r>
        <w:rPr>
          <w:rFonts w:hint="eastAsia" w:ascii="仿宋_GB2312" w:hAnsi="仿宋_GB2312" w:eastAsia="仿宋_GB2312" w:cs="仿宋_GB2312"/>
          <w:sz w:val="32"/>
          <w:szCs w:val="32"/>
          <w:highlight w:val="none"/>
          <w:lang w:eastAsia="zh-CN"/>
        </w:rPr>
        <w:t>完成田间实验</w:t>
      </w:r>
      <w:r>
        <w:rPr>
          <w:rFonts w:hint="eastAsia" w:ascii="仿宋_GB2312" w:hAnsi="仿宋_GB2312" w:eastAsia="仿宋_GB2312" w:cs="仿宋_GB2312"/>
          <w:sz w:val="32"/>
          <w:szCs w:val="32"/>
          <w:highlight w:val="none"/>
          <w:lang w:val="en-US" w:eastAsia="zh-CN"/>
        </w:rPr>
        <w:t>3个以上，农户施肥调查50个以上，更新养分数据，优化施肥参数，制定肥料配方，指导科学施肥，推广</w:t>
      </w:r>
      <w:r>
        <w:rPr>
          <w:rFonts w:hint="eastAsia" w:ascii="仿宋_GB2312" w:hAnsi="仿宋_GB2312" w:eastAsia="仿宋_GB2312" w:cs="仿宋_GB2312"/>
          <w:sz w:val="32"/>
          <w:szCs w:val="32"/>
          <w:lang w:val="en-US" w:eastAsia="zh-CN"/>
        </w:rPr>
        <w:t>测土配方施肥技术面积30万亩以上，技术覆盖率保持在90%以上。</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为确保工作全面完成，经2024年6月25日我局局务会审议同意，结合前期下拨的2024年省级财政耕地质量提升与化肥减量增效补助资金，我局委托新区农投集团完成相关任务。</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0" w:firstLineChars="200"/>
        <w:jc w:val="both"/>
        <w:textAlignment w:val="auto"/>
        <w:outlineLvl w:val="9"/>
        <w:rPr>
          <w:rFonts w:hint="eastAsia" w:ascii="黑体" w:hAnsi="黑体" w:eastAsia="黑体" w:cs="黑体"/>
          <w:sz w:val="32"/>
          <w:szCs w:val="32"/>
          <w:highlight w:val="none"/>
        </w:rPr>
      </w:pPr>
      <w:r>
        <w:rPr>
          <w:rFonts w:hint="eastAsia" w:ascii="仿宋_GB2312" w:hAnsi="仿宋_GB2312" w:eastAsia="仿宋_GB2312" w:cs="仿宋_GB2312"/>
          <w:sz w:val="32"/>
          <w:szCs w:val="32"/>
          <w:lang w:val="en-US" w:eastAsia="zh-CN"/>
        </w:rPr>
        <w:t>截止目前，项目下达任务和绩效目标已全面完成，资金已全部支出，自评得分100分。</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0" w:firstLineChars="200"/>
        <w:jc w:val="both"/>
        <w:textAlignment w:val="auto"/>
        <w:outlineLvl w:val="9"/>
        <w:rPr>
          <w:rFonts w:hint="eastAsia" w:ascii="黑体" w:hAnsi="黑体" w:eastAsia="黑体" w:cs="黑体"/>
          <w:sz w:val="32"/>
          <w:szCs w:val="32"/>
          <w:highlight w:val="none"/>
        </w:rPr>
      </w:pPr>
      <w:r>
        <w:rPr>
          <w:rFonts w:hint="eastAsia" w:ascii="黑体" w:hAnsi="黑体" w:eastAsia="黑体" w:cs="黑体"/>
          <w:sz w:val="32"/>
          <w:szCs w:val="32"/>
          <w:highlight w:val="none"/>
        </w:rPr>
        <w:t>二、绩效目标完成情况</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szCs w:val="32"/>
          <w:lang w:eastAsia="zh-CN"/>
        </w:rPr>
        <w:t>资金投入情况分析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省上拨付兰州新区的2024年中央财政耕地建设与利用资金8万元，实际到位资金8万元，资金到位率100%。</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（二）资金管理情况分析</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资金全部用于田间实验、农户施肥调查、测土配方施肥等化肥减量增效工作，严格执行《甘肃省农业资源及生态保护补助资金管理办法实施细则》的有关规定支出和使用，无挪用、滥用和违规使用等现象。目前，</w:t>
      </w:r>
      <w:r>
        <w:rPr>
          <w:rFonts w:hint="eastAsia" w:ascii="仿宋_GB2312" w:hAnsi="仿宋_GB2312" w:eastAsia="仿宋_GB2312" w:cs="仿宋_GB2312"/>
          <w:sz w:val="32"/>
          <w:szCs w:val="32"/>
          <w:highlight w:val="none"/>
          <w:lang w:val="en-US" w:eastAsia="zh-CN"/>
        </w:rPr>
        <w:t>该项目资金已全部支出到位。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2" w:firstLineChars="200"/>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（三）总体目标完成情况分析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根据省级项目方案目标要求，兰州新区2024年中央财政耕地质量提升与化肥减量增效项目已全部完成各项指标任务，全部工作任务无拖欠，无延误现象。</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各项</w:t>
      </w:r>
      <w:r>
        <w:rPr>
          <w:rFonts w:hint="eastAsia" w:ascii="楷体_GB2312" w:hAnsi="楷体_GB2312" w:eastAsia="楷体_GB2312" w:cs="楷体_GB2312"/>
          <w:b/>
          <w:bCs/>
          <w:sz w:val="32"/>
          <w:szCs w:val="32"/>
        </w:rPr>
        <w:t>绩效指标完成情况分析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（1）数量指标完成情况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指标1：测土配方施肥面积≧30万亩。目前完成推广测土配方施肥技术面积</w:t>
      </w:r>
      <w:r>
        <w:rPr>
          <w:rFonts w:hint="eastAsia" w:ascii="仿宋_GB2312" w:hAnsi="仿宋_GB2312" w:eastAsia="仿宋_GB2312" w:cs="仿宋_GB2312"/>
          <w:color w:val="auto"/>
          <w:sz w:val="32"/>
          <w:szCs w:val="32"/>
          <w:lang w:val="en-US" w:eastAsia="zh-CN"/>
        </w:rPr>
        <w:t>34.28</w:t>
      </w:r>
      <w:r>
        <w:rPr>
          <w:rFonts w:hint="eastAsia" w:ascii="仿宋_GB2312" w:hAnsi="仿宋_GB2312" w:eastAsia="仿宋_GB2312" w:cs="仿宋_GB2312"/>
          <w:sz w:val="32"/>
          <w:szCs w:val="32"/>
          <w:lang w:val="en-US" w:eastAsia="zh-CN"/>
        </w:rPr>
        <w:t>万亩。</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指标2：农户施肥调查数量≧50个。完成</w:t>
      </w:r>
      <w:r>
        <w:rPr>
          <w:rFonts w:hint="eastAsia" w:ascii="仿宋_GB2312" w:hAnsi="仿宋_GB2312" w:eastAsia="仿宋_GB2312" w:cs="仿宋_GB2312"/>
          <w:color w:val="auto"/>
          <w:sz w:val="32"/>
          <w:szCs w:val="32"/>
          <w:lang w:val="en-US" w:eastAsia="zh-CN"/>
        </w:rPr>
        <w:t>55户农户施肥调查。</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指标3：田间试验数量≧3个，目前已完成小麦、玉米化肥利用率等田间试验3个。</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（2）质量指标完成情况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指标1：测土配方施肥技术覆盖率≧90%。测土配方施肥技术覆盖率 %。</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2"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（3）时效指标完成情况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指标1：2024年12月31日前完成科学施肥技术推广。已于2024年12月31日前完成了科学施肥技术推广。</w:t>
      </w:r>
    </w:p>
    <w:p>
      <w:pPr>
        <w:keepNext w:val="0"/>
        <w:keepLines w:val="0"/>
        <w:pageBreakBefore w:val="0"/>
        <w:widowControl w:val="0"/>
        <w:kinsoku/>
        <w:wordWrap/>
        <w:overflowPunct/>
        <w:topLinePunct w:val="0"/>
        <w:autoSpaceDE/>
        <w:autoSpaceDN/>
        <w:bidi w:val="0"/>
        <w:adjustRightInd/>
        <w:snapToGrid/>
        <w:spacing w:line="640" w:lineRule="exact"/>
        <w:ind w:firstLine="642" w:firstLineChars="200"/>
        <w:jc w:val="both"/>
        <w:textAlignment w:val="auto"/>
        <w:outlineLvl w:val="9"/>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2"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（1）社会效益指标</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指标1：资金使用无重大违规违纪问题。项目资金严格执行《甘肃省农业资源及生态保护补助资金管理办法实施细则》的有关规定支出和使用，无挪用、滥用和违规使用等问题。</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2"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（2）生态效益指标</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指标1：化肥使用量或单位用量增幅</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0。化肥使用量或单位用量增幅为0。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3.满意度指标完成情况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示范县服务主体对科学施肥增效实施满意度。示范县服务主体对科学施肥增效实施满意度92%。</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rPr>
        <w:t>三、</w:t>
      </w:r>
      <w:r>
        <w:rPr>
          <w:rFonts w:hint="eastAsia" w:ascii="黑体" w:hAnsi="黑体" w:eastAsia="黑体" w:cs="黑体"/>
          <w:sz w:val="32"/>
          <w:szCs w:val="32"/>
          <w:lang w:eastAsia="zh-CN"/>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0" w:firstLineChars="200"/>
        <w:jc w:val="both"/>
        <w:textAlignment w:val="auto"/>
        <w:outlineLvl w:val="9"/>
        <w:rPr>
          <w:rFonts w:hint="eastAsia" w:ascii="楷体_GB2312" w:hAnsi="楷体_GB2312" w:eastAsia="楷体_GB2312" w:cs="楷体_GB2312"/>
          <w:b/>
          <w:bCs/>
          <w:sz w:val="32"/>
          <w:szCs w:val="32"/>
          <w:highlight w:val="none"/>
        </w:rPr>
      </w:pPr>
      <w:r>
        <w:rPr>
          <w:rFonts w:hint="eastAsia" w:ascii="仿宋_GB2312" w:hAnsi="仿宋_GB2312" w:eastAsia="仿宋_GB2312" w:cs="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四、绩效自评结果拟应用和公开情况</w:t>
      </w:r>
    </w:p>
    <w:p>
      <w:pPr>
        <w:pStyle w:val="8"/>
        <w:keepNext w:val="0"/>
        <w:keepLines w:val="0"/>
        <w:pageBreakBefore w:val="0"/>
        <w:widowControl w:val="0"/>
        <w:kinsoku/>
        <w:wordWrap/>
        <w:overflowPunct/>
        <w:topLinePunct w:val="0"/>
        <w:autoSpaceDE/>
        <w:autoSpaceDN/>
        <w:bidi w:val="0"/>
        <w:adjustRightInd/>
        <w:snapToGrid/>
        <w:spacing w:after="0" w:line="640" w:lineRule="exact"/>
        <w:ind w:left="0" w:leftChars="0"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专项资金已全部用于项目建设支出，资金管理及使用符合有关制度规定，</w:t>
      </w:r>
      <w:r>
        <w:rPr>
          <w:rFonts w:hint="default" w:ascii="仿宋_GB2312" w:hAnsi="仿宋_GB2312" w:eastAsia="仿宋_GB2312" w:cs="仿宋_GB2312"/>
          <w:kern w:val="2"/>
          <w:sz w:val="32"/>
          <w:szCs w:val="32"/>
          <w:lang w:val="en" w:eastAsia="zh-CN" w:bidi="ar-SA"/>
        </w:rPr>
        <w:t>自评</w:t>
      </w:r>
      <w:r>
        <w:rPr>
          <w:rFonts w:hint="eastAsia" w:ascii="仿宋_GB2312" w:hAnsi="仿宋_GB2312" w:eastAsia="仿宋_GB2312" w:cs="仿宋_GB2312"/>
          <w:kern w:val="2"/>
          <w:sz w:val="32"/>
          <w:szCs w:val="32"/>
          <w:lang w:val="en-US" w:eastAsia="zh-CN" w:bidi="ar-SA"/>
        </w:rPr>
        <w:t>结果将作为后续项目建设及资金安排依据，项目自评将与部门决算情况一并公开。</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五、其他需要说明的问题</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640" w:lineRule="exact"/>
        <w:ind w:leftChars="0" w:firstLine="640" w:firstLineChars="20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ind w:left="1598" w:leftChars="304" w:hanging="960" w:hangingChars="3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rPr>
        <w:t>转移支付区域（</w:t>
      </w:r>
      <w:r>
        <w:rPr>
          <w:rFonts w:hint="eastAsia" w:ascii="仿宋_GB2312" w:hAnsi="仿宋_GB2312" w:eastAsia="仿宋_GB2312" w:cs="仿宋_GB2312"/>
          <w:sz w:val="32"/>
          <w:szCs w:val="32"/>
          <w:lang w:val="en-US" w:eastAsia="zh-CN"/>
        </w:rPr>
        <w:t>2024年度化肥减量增效项目</w:t>
      </w:r>
      <w:r>
        <w:rPr>
          <w:rFonts w:hint="eastAsia" w:ascii="仿宋_GB2312" w:hAnsi="仿宋_GB2312" w:eastAsia="仿宋_GB2312" w:cs="仿宋_GB2312"/>
          <w:sz w:val="32"/>
          <w:szCs w:val="32"/>
        </w:rPr>
        <w:t>）绩效目标自评表</w:t>
      </w:r>
    </w:p>
    <w:p>
      <w:pPr>
        <w:keepNext w:val="0"/>
        <w:keepLines w:val="0"/>
        <w:pageBreakBefore w:val="0"/>
        <w:widowControl w:val="0"/>
        <w:kinsoku/>
        <w:wordWrap/>
        <w:overflowPunct/>
        <w:topLinePunct w:val="0"/>
        <w:autoSpaceDE/>
        <w:autoSpaceDN/>
        <w:bidi w:val="0"/>
        <w:adjustRightInd/>
        <w:snapToGrid/>
        <w:spacing w:line="640" w:lineRule="exact"/>
        <w:ind w:left="1598" w:leftChars="304" w:hanging="960" w:hangingChars="3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color w:val="0000FF"/>
        </w:rPr>
      </w:pPr>
      <w:bookmarkStart w:id="0" w:name="_GoBack"/>
      <w:bookmarkEnd w:id="0"/>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10"/>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D7245B"/>
    <w:multiLevelType w:val="multilevel"/>
    <w:tmpl w:val="2AD7245B"/>
    <w:lvl w:ilvl="0" w:tentative="0">
      <w:start w:val="1"/>
      <w:numFmt w:val="decimal"/>
      <w:lvlText w:val="第%1章"/>
      <w:lvlJc w:val="left"/>
      <w:pPr>
        <w:tabs>
          <w:tab w:val="left" w:pos="964"/>
        </w:tabs>
        <w:ind w:left="0" w:firstLine="0"/>
      </w:pPr>
      <w:rPr>
        <w:rFonts w:hint="eastAsia" w:ascii="黑体" w:eastAsia="黑体"/>
        <w:b/>
        <w:i w:val="0"/>
        <w:sz w:val="32"/>
        <w:szCs w:val="32"/>
        <w:lang w:val="en-US"/>
      </w:rPr>
    </w:lvl>
    <w:lvl w:ilvl="1" w:tentative="0">
      <w:start w:val="1"/>
      <w:numFmt w:val="decimal"/>
      <w:lvlText w:val="%1.%2"/>
      <w:lvlJc w:val="left"/>
      <w:pPr>
        <w:tabs>
          <w:tab w:val="left" w:pos="567"/>
        </w:tabs>
        <w:ind w:left="0" w:firstLine="0"/>
      </w:pPr>
      <w:rPr>
        <w:rFonts w:hint="default" w:ascii="Times New Roman" w:hAnsi="Times New Roman" w:eastAsia="黑体"/>
        <w:b/>
        <w:i w:val="0"/>
        <w:sz w:val="28"/>
        <w:szCs w:val="28"/>
      </w:rPr>
    </w:lvl>
    <w:lvl w:ilvl="2" w:tentative="0">
      <w:start w:val="1"/>
      <w:numFmt w:val="decimal"/>
      <w:lvlText w:val="%1.%2.%3"/>
      <w:lvlJc w:val="left"/>
      <w:pPr>
        <w:tabs>
          <w:tab w:val="left" w:pos="822"/>
        </w:tabs>
        <w:ind w:left="142" w:firstLine="0"/>
      </w:pPr>
      <w:rPr>
        <w:rFonts w:hint="eastAsia" w:eastAsia="黑体"/>
      </w:rPr>
    </w:lvl>
    <w:lvl w:ilvl="3" w:tentative="0">
      <w:start w:val="1"/>
      <w:numFmt w:val="decimal"/>
      <w:pStyle w:val="3"/>
      <w:lvlText w:val="%1.%2.%3.%4"/>
      <w:lvlJc w:val="left"/>
      <w:pPr>
        <w:tabs>
          <w:tab w:val="left" w:pos="2716"/>
        </w:tabs>
        <w:ind w:left="1984" w:hanging="1984"/>
      </w:pPr>
      <w:rPr>
        <w:rFonts w:hint="default" w:ascii="Times New Roman" w:hAnsi="Times New Roman" w:eastAsia="宋体" w:cs="Times New Roman"/>
      </w:rPr>
    </w:lvl>
    <w:lvl w:ilvl="4" w:tentative="0">
      <w:start w:val="1"/>
      <w:numFmt w:val="decimal"/>
      <w:lvlText w:val="%1.%2.%3.%4.%5"/>
      <w:lvlJc w:val="left"/>
      <w:pPr>
        <w:tabs>
          <w:tab w:val="left" w:pos="350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49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NTg2NmZmOTQ5OWE0MzE0ZDU3ODU4YmY4OTJlMGYifQ=="/>
  </w:docVars>
  <w:rsids>
    <w:rsidRoot w:val="333C6112"/>
    <w:rsid w:val="039B2219"/>
    <w:rsid w:val="143E3DF6"/>
    <w:rsid w:val="15604521"/>
    <w:rsid w:val="2B352EEB"/>
    <w:rsid w:val="2F4631AA"/>
    <w:rsid w:val="321618F3"/>
    <w:rsid w:val="333C6112"/>
    <w:rsid w:val="471874EC"/>
    <w:rsid w:val="52A92753"/>
    <w:rsid w:val="538151FE"/>
    <w:rsid w:val="5A5FBFBF"/>
    <w:rsid w:val="5C502193"/>
    <w:rsid w:val="5CF810C6"/>
    <w:rsid w:val="5CFFD178"/>
    <w:rsid w:val="61990DAC"/>
    <w:rsid w:val="68E343C2"/>
    <w:rsid w:val="6DDF5D3B"/>
    <w:rsid w:val="718E0F1A"/>
    <w:rsid w:val="77DF6A8B"/>
    <w:rsid w:val="78BB154B"/>
    <w:rsid w:val="79F6604A"/>
    <w:rsid w:val="7F8C7D9C"/>
    <w:rsid w:val="9BF50469"/>
    <w:rsid w:val="BF7E3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4"/>
    <w:unhideWhenUsed/>
    <w:qFormat/>
    <w:uiPriority w:val="0"/>
    <w:pPr>
      <w:keepNext/>
      <w:keepLines/>
      <w:numPr>
        <w:ilvl w:val="3"/>
        <w:numId w:val="1"/>
      </w:numPr>
      <w:tabs>
        <w:tab w:val="left" w:pos="1050"/>
        <w:tab w:val="clear" w:pos="2716"/>
      </w:tabs>
      <w:spacing w:before="40" w:after="120" w:line="480" w:lineRule="auto"/>
      <w:outlineLvl w:val="3"/>
    </w:pPr>
    <w:rPr>
      <w:rFonts w:eastAsia="黑体"/>
      <w:b/>
      <w:bCs/>
      <w:sz w:val="28"/>
      <w:szCs w:val="28"/>
    </w:rPr>
  </w:style>
  <w:style w:type="paragraph" w:styleId="2">
    <w:name w:val="heading 6"/>
    <w:basedOn w:val="1"/>
    <w:next w:val="1"/>
    <w:qFormat/>
    <w:uiPriority w:val="0"/>
    <w:pPr>
      <w:keepNext/>
      <w:keepLines/>
      <w:spacing w:line="320" w:lineRule="auto"/>
      <w:ind w:left="1151" w:hanging="1151"/>
      <w:outlineLvl w:val="5"/>
    </w:pPr>
    <w:rPr>
      <w:rFonts w:ascii="Cambria" w:hAnsi="Cambria"/>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4">
    <w:name w:val="段落 Char"/>
    <w:basedOn w:val="1"/>
    <w:qFormat/>
    <w:uiPriority w:val="0"/>
    <w:pPr>
      <w:topLinePunct/>
      <w:spacing w:line="360" w:lineRule="auto"/>
      <w:ind w:firstLine="558" w:firstLineChars="200"/>
    </w:pPr>
    <w:rPr>
      <w:sz w:val="28"/>
      <w:szCs w:val="28"/>
    </w:rPr>
  </w:style>
  <w:style w:type="paragraph" w:styleId="5">
    <w:name w:val="Body Text"/>
    <w:basedOn w:val="1"/>
    <w:next w:val="6"/>
    <w:qFormat/>
    <w:uiPriority w:val="99"/>
    <w:pPr>
      <w:spacing w:line="360" w:lineRule="auto"/>
    </w:pPr>
    <w:rPr>
      <w:rFonts w:ascii="Times New Roman" w:hAnsi="Times New Roman" w:eastAsia="仿宋_GB2312"/>
      <w:sz w:val="32"/>
    </w:rPr>
  </w:style>
  <w:style w:type="paragraph" w:styleId="6">
    <w:name w:val="Body Text First Indent 2"/>
    <w:basedOn w:val="7"/>
    <w:qFormat/>
    <w:uiPriority w:val="0"/>
    <w:pPr>
      <w:ind w:firstLine="420" w:firstLineChars="200"/>
    </w:pPr>
  </w:style>
  <w:style w:type="paragraph" w:styleId="7">
    <w:name w:val="Body Text Indent"/>
    <w:basedOn w:val="1"/>
    <w:qFormat/>
    <w:uiPriority w:val="0"/>
    <w:pPr>
      <w:spacing w:after="120"/>
      <w:ind w:left="420" w:leftChars="200"/>
    </w:pPr>
  </w:style>
  <w:style w:type="paragraph" w:styleId="8">
    <w:name w:val="Body Text Indent 2"/>
    <w:basedOn w:val="1"/>
    <w:next w:val="9"/>
    <w:qFormat/>
    <w:uiPriority w:val="0"/>
    <w:pPr>
      <w:spacing w:after="120" w:line="480" w:lineRule="auto"/>
      <w:ind w:left="420" w:leftChars="200"/>
    </w:pPr>
  </w:style>
  <w:style w:type="paragraph" w:styleId="9">
    <w:name w:val="Normal (Web)"/>
    <w:basedOn w:val="1"/>
    <w:next w:val="1"/>
    <w:qFormat/>
    <w:uiPriority w:val="99"/>
    <w:pPr>
      <w:jc w:val="left"/>
    </w:pPr>
    <w:rPr>
      <w:rFonts w:ascii="Calibri" w:hAnsi="Calibri" w:eastAsia="宋体" w:cs="Times New Roman"/>
      <w:kern w:val="0"/>
      <w:sz w:val="24"/>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paragraph" w:styleId="12">
    <w:name w:val="index 9"/>
    <w:basedOn w:val="1"/>
    <w:next w:val="1"/>
    <w:qFormat/>
    <w:uiPriority w:val="99"/>
    <w:pPr>
      <w:ind w:left="1600" w:leftChars="1600"/>
    </w:pPr>
    <w:rPr>
      <w:rFonts w:ascii="Times New Roman" w:hAnsi="Times New Roman"/>
    </w:rPr>
  </w:style>
  <w:style w:type="paragraph" w:customStyle="1" w:styleId="15">
    <w:name w:val="样式 标题 4 + 宋体"/>
    <w:basedOn w:val="3"/>
    <w:qFormat/>
    <w:uiPriority w:val="0"/>
    <w:pPr>
      <w:numPr>
        <w:ilvl w:val="0"/>
        <w:numId w:val="0"/>
      </w:numPr>
      <w:tabs>
        <w:tab w:val="left" w:pos="2716"/>
        <w:tab w:val="clear" w:pos="1050"/>
      </w:tabs>
      <w:spacing w:line="240" w:lineRule="auto"/>
      <w:ind w:left="590" w:firstLine="241" w:firstLineChars="100"/>
      <w:jc w:val="left"/>
      <w:outlineLvl w:val="9"/>
    </w:pPr>
    <w:rPr>
      <w:rFonts w:ascii="宋体" w:hAnsi="宋体" w:eastAsia="宋体"/>
    </w:rPr>
  </w:style>
  <w:style w:type="paragraph" w:customStyle="1" w:styleId="16">
    <w:name w:val="p0"/>
    <w:basedOn w:val="1"/>
    <w:next w:val="12"/>
    <w:qFormat/>
    <w:uiPriority w:val="0"/>
    <w:pPr>
      <w:widowControl/>
      <w:spacing w:line="365" w:lineRule="atLeast"/>
      <w:ind w:left="1"/>
    </w:pPr>
    <w:rPr>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1249</Words>
  <Characters>1324</Characters>
  <Lines>0</Lines>
  <Paragraphs>0</Paragraphs>
  <TotalTime>1</TotalTime>
  <ScaleCrop>false</ScaleCrop>
  <LinksUpToDate>false</LinksUpToDate>
  <CharactersWithSpaces>1324</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2024-11-14T03:49:00Z</dcterms:created>
  <dc:creator>tian亮说晚安</dc:creator>
  <cp:lastModifiedBy>lzxq</cp:lastModifiedBy>
  <dcterms:modified xsi:type="dcterms:W3CDTF">2025-03-10T10:23:55Z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98EF083A9A554D9EB2A100BAED65DE68_13</vt:lpwstr>
  </property>
</Properties>
</file>