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347E2">
      <w:pPr>
        <w:keepNext w:val="0"/>
        <w:keepLines w:val="0"/>
        <w:pageBreakBefore w:val="0"/>
        <w:widowControl w:val="0"/>
        <w:kinsoku/>
        <w:wordWrap/>
        <w:overflowPunct/>
        <w:topLinePunct w:val="0"/>
        <w:autoSpaceDE/>
        <w:autoSpaceDN/>
        <w:bidi w:val="0"/>
        <w:adjustRightInd/>
        <w:snapToGrid/>
        <w:spacing w:before="0" w:after="0" w:line="560" w:lineRule="exact"/>
        <w:ind w:firstLine="0"/>
        <w:jc w:val="center"/>
        <w:textAlignment w:val="auto"/>
        <w:rPr>
          <w:b w:val="0"/>
          <w:bCs w:val="0"/>
          <w:sz w:val="44"/>
          <w:szCs w:val="44"/>
        </w:rPr>
      </w:pPr>
      <w:r>
        <w:rPr>
          <w:rFonts w:ascii="方正小标宋简体" w:hAnsi="方正小标宋简体" w:eastAsia="方正小标宋简体"/>
          <w:b w:val="0"/>
          <w:bCs w:val="0"/>
          <w:color w:val="000000"/>
          <w:sz w:val="44"/>
          <w:szCs w:val="44"/>
        </w:rPr>
        <w:t>关于兰州新区小场所消防管理规定的起草说明</w:t>
      </w:r>
    </w:p>
    <w:p w14:paraId="7E640CE5">
      <w:pPr>
        <w:keepNext w:val="0"/>
        <w:keepLines w:val="0"/>
        <w:pageBreakBefore w:val="0"/>
        <w:widowControl w:val="0"/>
        <w:kinsoku/>
        <w:wordWrap/>
        <w:overflowPunct/>
        <w:topLinePunct w:val="0"/>
        <w:autoSpaceDE/>
        <w:autoSpaceDN/>
        <w:bidi w:val="0"/>
        <w:adjustRightInd/>
        <w:snapToGrid/>
        <w:spacing w:before="0" w:after="0" w:line="560" w:lineRule="exact"/>
        <w:ind w:firstLine="0"/>
        <w:textAlignment w:val="auto"/>
        <w:rPr>
          <w:b w:val="0"/>
          <w:bCs w:val="0"/>
        </w:rPr>
      </w:pPr>
    </w:p>
    <w:p w14:paraId="638AB50E">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val="0"/>
        </w:rPr>
      </w:pPr>
      <w:r>
        <w:rPr>
          <w:rFonts w:hint="default" w:ascii="Times New Roman" w:hAnsi="Times New Roman" w:eastAsia="仿宋_GB2312" w:cs="Times New Roman"/>
          <w:b w:val="0"/>
          <w:bCs w:val="0"/>
          <w:color w:val="000000"/>
          <w:sz w:val="32"/>
          <w:szCs w:val="32"/>
        </w:rPr>
        <w:t>为切实加强</w:t>
      </w:r>
      <w:r>
        <w:rPr>
          <w:rFonts w:hint="eastAsia" w:ascii="Times New Roman" w:hAnsi="Times New Roman" w:cs="Times New Roman"/>
          <w:b w:val="0"/>
          <w:bCs w:val="0"/>
          <w:color w:val="000000"/>
          <w:sz w:val="32"/>
          <w:szCs w:val="32"/>
          <w:lang w:val="en-US" w:eastAsia="zh-CN"/>
        </w:rPr>
        <w:t>兰州新区</w:t>
      </w:r>
      <w:r>
        <w:rPr>
          <w:rFonts w:hint="default" w:ascii="Times New Roman" w:hAnsi="Times New Roman" w:eastAsia="仿宋_GB2312" w:cs="Times New Roman"/>
          <w:b w:val="0"/>
          <w:bCs w:val="0"/>
          <w:color w:val="000000"/>
          <w:sz w:val="32"/>
          <w:szCs w:val="32"/>
        </w:rPr>
        <w:t>小场所消防安全管理，预防和减少火灾危害，保障人民群众生命财产安全，</w:t>
      </w:r>
      <w:r>
        <w:rPr>
          <w:rFonts w:hint="eastAsia" w:ascii="Times New Roman" w:hAnsi="Times New Roman" w:cs="Times New Roman"/>
          <w:b w:val="0"/>
          <w:bCs w:val="0"/>
          <w:color w:val="000000"/>
          <w:sz w:val="32"/>
          <w:szCs w:val="32"/>
          <w:lang w:val="en-US" w:eastAsia="zh-CN"/>
        </w:rPr>
        <w:t>甘肃</w:t>
      </w:r>
      <w:r>
        <w:rPr>
          <w:rFonts w:hint="eastAsia" w:ascii="仿宋_GB2312" w:hAnsi="仿宋_GB2312" w:eastAsia="仿宋_GB2312" w:cs="仿宋_GB2312"/>
          <w:b w:val="0"/>
          <w:bCs w:val="0"/>
          <w:sz w:val="32"/>
          <w:szCs w:val="32"/>
        </w:rPr>
        <w:t>省安委会印发了《关于加强小场所消防安全管理的意见》</w:t>
      </w:r>
      <w:r>
        <w:rPr>
          <w:rFonts w:hint="eastAsia" w:cs="仿宋_GB2312"/>
          <w:b w:val="0"/>
          <w:bCs w:val="0"/>
          <w:sz w:val="32"/>
          <w:szCs w:val="32"/>
          <w:lang w:eastAsia="zh-CN"/>
        </w:rPr>
        <w:t>。</w:t>
      </w:r>
      <w:r>
        <w:rPr>
          <w:rFonts w:hint="eastAsia"/>
          <w:b w:val="0"/>
          <w:bCs w:val="0"/>
          <w:color w:val="000000"/>
          <w:sz w:val="32"/>
          <w:szCs w:val="32"/>
          <w:lang w:val="en-US" w:eastAsia="zh-CN"/>
        </w:rPr>
        <w:t>新区消防救援</w:t>
      </w:r>
      <w:r>
        <w:rPr>
          <w:rFonts w:ascii="仿宋_GB2312" w:hAnsi="仿宋_GB2312" w:eastAsia="仿宋_GB2312"/>
          <w:b w:val="0"/>
          <w:bCs w:val="0"/>
          <w:color w:val="000000"/>
          <w:sz w:val="32"/>
          <w:szCs w:val="32"/>
        </w:rPr>
        <w:t>支队</w:t>
      </w:r>
      <w:r>
        <w:rPr>
          <w:rFonts w:hint="eastAsia" w:ascii="仿宋_GB2312" w:hAnsi="仿宋_GB2312" w:eastAsia="仿宋_GB2312" w:cs="仿宋_GB2312"/>
          <w:b w:val="0"/>
          <w:bCs w:val="0"/>
          <w:sz w:val="32"/>
          <w:szCs w:val="32"/>
        </w:rPr>
        <w:t>系统梳理了相关法律法规</w:t>
      </w:r>
      <w:r>
        <w:rPr>
          <w:rFonts w:hint="eastAsia" w:cs="仿宋_GB2312"/>
          <w:b w:val="0"/>
          <w:bCs w:val="0"/>
          <w:sz w:val="32"/>
          <w:szCs w:val="32"/>
          <w:lang w:val="en-US" w:eastAsia="zh-CN"/>
        </w:rPr>
        <w:t>及文件规定</w:t>
      </w:r>
      <w:r>
        <w:rPr>
          <w:rFonts w:hint="eastAsia" w:ascii="仿宋_GB2312" w:hAnsi="仿宋_GB2312" w:eastAsia="仿宋_GB2312" w:cs="仿宋_GB2312"/>
          <w:b w:val="0"/>
          <w:bCs w:val="0"/>
          <w:sz w:val="32"/>
          <w:szCs w:val="32"/>
        </w:rPr>
        <w:t>，并充分学习借鉴</w:t>
      </w:r>
      <w:r>
        <w:rPr>
          <w:rFonts w:hint="eastAsia" w:cs="仿宋_GB2312"/>
          <w:b w:val="0"/>
          <w:bCs w:val="0"/>
          <w:sz w:val="32"/>
          <w:szCs w:val="32"/>
          <w:lang w:val="en-US" w:eastAsia="zh-CN"/>
        </w:rPr>
        <w:t>其他地区</w:t>
      </w:r>
      <w:r>
        <w:rPr>
          <w:rFonts w:hint="eastAsia" w:ascii="仿宋_GB2312" w:hAnsi="仿宋_GB2312" w:eastAsia="仿宋_GB2312" w:cs="仿宋_GB2312"/>
          <w:b w:val="0"/>
          <w:bCs w:val="0"/>
          <w:sz w:val="32"/>
          <w:szCs w:val="32"/>
        </w:rPr>
        <w:t>先行出台相关规定的经验</w:t>
      </w:r>
      <w:r>
        <w:rPr>
          <w:rFonts w:hint="eastAsia" w:cs="仿宋_GB2312"/>
          <w:b w:val="0"/>
          <w:bCs w:val="0"/>
          <w:sz w:val="32"/>
          <w:szCs w:val="32"/>
          <w:lang w:eastAsia="zh-CN"/>
        </w:rPr>
        <w:t>，</w:t>
      </w:r>
      <w:r>
        <w:rPr>
          <w:rFonts w:ascii="仿宋_GB2312" w:hAnsi="仿宋_GB2312" w:eastAsia="仿宋_GB2312"/>
          <w:b w:val="0"/>
          <w:bCs w:val="0"/>
          <w:color w:val="000000"/>
          <w:sz w:val="32"/>
          <w:szCs w:val="32"/>
        </w:rPr>
        <w:t>结合新区实际，起草制定了《兰州新区小场所消防管理规定</w:t>
      </w:r>
      <w:r>
        <w:rPr>
          <w:rFonts w:hint="default" w:ascii="Times New Roman" w:hAnsi="Times New Roman" w:eastAsia="仿宋_GB2312" w:cs="Times New Roman"/>
          <w:b w:val="0"/>
          <w:bCs w:val="0"/>
          <w:color w:val="000000"/>
          <w:sz w:val="32"/>
          <w:szCs w:val="32"/>
        </w:rPr>
        <w:t>（征求意见稿）</w:t>
      </w:r>
      <w:r>
        <w:rPr>
          <w:rFonts w:ascii="仿宋_GB2312" w:hAnsi="仿宋_GB2312" w:eastAsia="仿宋_GB2312"/>
          <w:b w:val="0"/>
          <w:bCs w:val="0"/>
          <w:color w:val="000000"/>
          <w:sz w:val="32"/>
          <w:szCs w:val="32"/>
        </w:rPr>
        <w:t>》</w:t>
      </w:r>
      <w:r>
        <w:rPr>
          <w:rFonts w:hint="eastAsia" w:ascii="仿宋_GB2312" w:hAnsi="仿宋_GB2312" w:eastAsia="仿宋_GB2312" w:cs="仿宋_GB2312"/>
          <w:b w:val="0"/>
          <w:bCs w:val="0"/>
          <w:sz w:val="32"/>
          <w:szCs w:val="32"/>
        </w:rPr>
        <w:t>（以下简称《规定》）</w:t>
      </w:r>
      <w:r>
        <w:rPr>
          <w:rFonts w:ascii="仿宋_GB2312" w:hAnsi="仿宋_GB2312" w:eastAsia="仿宋_GB2312"/>
          <w:b w:val="0"/>
          <w:bCs w:val="0"/>
          <w:color w:val="000000"/>
          <w:sz w:val="32"/>
          <w:szCs w:val="32"/>
        </w:rPr>
        <w:t>，现将起草情况说明如下：</w:t>
      </w:r>
    </w:p>
    <w:p w14:paraId="31B55A30">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val="en-US" w:eastAsia="zh-CN"/>
        </w:rPr>
        <w:t>起草</w:t>
      </w:r>
      <w:r>
        <w:rPr>
          <w:rFonts w:hint="eastAsia" w:ascii="黑体" w:hAnsi="黑体" w:eastAsia="黑体" w:cs="黑体"/>
          <w:b w:val="0"/>
          <w:bCs w:val="0"/>
          <w:sz w:val="32"/>
          <w:szCs w:val="32"/>
        </w:rPr>
        <w:t>背景与必要性</w:t>
      </w:r>
    </w:p>
    <w:p w14:paraId="12E357F5">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b w:val="0"/>
          <w:bCs w:val="0"/>
          <w:color w:val="000000"/>
          <w:sz w:val="32"/>
          <w:szCs w:val="32"/>
        </w:rPr>
      </w:pPr>
      <w:r>
        <w:rPr>
          <w:rFonts w:hint="eastAsia" w:ascii="楷体_GB2312" w:hAnsi="楷体_GB2312" w:eastAsia="楷体_GB2312" w:cs="楷体_GB2312"/>
          <w:b w:val="0"/>
          <w:bCs w:val="0"/>
          <w:color w:val="000000"/>
          <w:sz w:val="32"/>
          <w:szCs w:val="32"/>
        </w:rPr>
        <w:t>（一）防范化解重大风险，遏制小火亡人火灾的迫切需要。</w:t>
      </w:r>
      <w:r>
        <w:rPr>
          <w:rFonts w:hint="eastAsia" w:ascii="仿宋_GB2312" w:hAnsi="仿宋_GB2312" w:eastAsia="仿宋_GB2312"/>
          <w:b w:val="0"/>
          <w:bCs w:val="0"/>
          <w:color w:val="000000"/>
          <w:sz w:val="32"/>
          <w:szCs w:val="32"/>
        </w:rPr>
        <w:t>小场所（如小餐饮、小商店、小作坊等）量大面广，存在违规住人（“三合一”）、易燃可燃材料装修、违规动火动焊、外窗设置防盗网影响逃生等顽瘴痼疾。近年来，全国各地小场所亡人火灾事故频发，教训极其惨痛。2026年5月河南三门峡灵宝市一商铺火灾致6人遇难；2025年4月辽宁辽阳市一沿街餐饮外立面起火致22人遇难。出台本《规定》，是精准防范化解小场所火灾风险、保障人民群众生命财产安全的必然要求。</w:t>
      </w:r>
    </w:p>
    <w:p w14:paraId="1E9ABAA7">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b w:val="0"/>
          <w:bCs w:val="0"/>
          <w:color w:val="000000"/>
          <w:sz w:val="32"/>
          <w:szCs w:val="32"/>
        </w:rPr>
      </w:pPr>
      <w:r>
        <w:rPr>
          <w:rFonts w:hint="eastAsia" w:ascii="楷体_GB2312" w:hAnsi="楷体_GB2312" w:eastAsia="楷体_GB2312" w:cs="楷体_GB2312"/>
          <w:b w:val="0"/>
          <w:bCs w:val="0"/>
          <w:color w:val="000000"/>
          <w:sz w:val="32"/>
          <w:szCs w:val="32"/>
        </w:rPr>
        <w:t>（二）落实省安委会部署，提升本质安全水平的重要举措。</w:t>
      </w:r>
      <w:r>
        <w:rPr>
          <w:rFonts w:hint="eastAsia" w:ascii="仿宋_GB2312" w:hAnsi="仿宋_GB2312" w:eastAsia="仿宋_GB2312"/>
          <w:b w:val="0"/>
          <w:bCs w:val="0"/>
          <w:color w:val="000000"/>
          <w:sz w:val="32"/>
          <w:szCs w:val="32"/>
        </w:rPr>
        <w:t>2026年5月14日，甘肃省安全生产委员会印发《关于加强小场所消防安全管理的意见》的通知，对小场所消防安全管理提出了明确要求。新区出台本《规定》，是全面承接落实省上决策部署、将政策要求转化为新区刚性管理制度的具体行动，对填补新区小场所精细化管理制度空白、实现基层“有章可循、照单履职”具有重要现实意义。</w:t>
      </w:r>
    </w:p>
    <w:p w14:paraId="00C692B1">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仿宋_GB2312" w:hAnsi="仿宋_GB2312" w:eastAsia="仿宋_GB2312"/>
          <w:b w:val="0"/>
          <w:bCs w:val="0"/>
          <w:color w:val="000000"/>
          <w:sz w:val="32"/>
          <w:szCs w:val="32"/>
        </w:rPr>
      </w:pPr>
      <w:r>
        <w:rPr>
          <w:rFonts w:hint="eastAsia" w:ascii="仿宋_GB2312" w:hAnsi="仿宋_GB2312" w:eastAsia="仿宋_GB2312"/>
          <w:b w:val="0"/>
          <w:bCs w:val="0"/>
          <w:color w:val="000000"/>
          <w:sz w:val="32"/>
          <w:szCs w:val="32"/>
        </w:rPr>
        <w:t>（</w:t>
      </w:r>
      <w:r>
        <w:rPr>
          <w:rFonts w:hint="eastAsia" w:ascii="楷体_GB2312" w:hAnsi="楷体_GB2312" w:eastAsia="楷体_GB2312" w:cs="楷体_GB2312"/>
          <w:b w:val="0"/>
          <w:bCs w:val="0"/>
          <w:color w:val="000000"/>
          <w:sz w:val="32"/>
          <w:szCs w:val="32"/>
        </w:rPr>
        <w:t>三）细化法律法规标准，厘清基层监管职责的现实需要。</w:t>
      </w:r>
      <w:r>
        <w:rPr>
          <w:rFonts w:hint="eastAsia" w:ascii="仿宋_GB2312" w:hAnsi="仿宋_GB2312" w:eastAsia="仿宋_GB2312"/>
          <w:b w:val="0"/>
          <w:bCs w:val="0"/>
          <w:color w:val="000000"/>
          <w:sz w:val="32"/>
          <w:szCs w:val="32"/>
        </w:rPr>
        <w:t>《</w:t>
      </w:r>
      <w:r>
        <w:rPr>
          <w:rFonts w:hint="eastAsia"/>
          <w:b w:val="0"/>
          <w:bCs w:val="0"/>
          <w:color w:val="000000"/>
          <w:sz w:val="32"/>
          <w:szCs w:val="32"/>
          <w:lang w:val="en-US" w:eastAsia="zh-CN"/>
        </w:rPr>
        <w:t>中华人民共和国</w:t>
      </w:r>
      <w:r>
        <w:rPr>
          <w:rFonts w:hint="eastAsia" w:ascii="仿宋_GB2312" w:hAnsi="仿宋_GB2312" w:eastAsia="仿宋_GB2312"/>
          <w:b w:val="0"/>
          <w:bCs w:val="0"/>
          <w:color w:val="000000"/>
          <w:sz w:val="32"/>
          <w:szCs w:val="32"/>
        </w:rPr>
        <w:t>消防法》等上位法多为原则性规定，在实际执行中，各行业部门对小场所的监管边界、多产权建筑管理、具体防火分隔措施等需要进一步细化。出台本《规定》，旨在将法定职责转化为可操作的细化条款，厘清部门监管边界，有效破解基层监管中“职责交叉”或“监管盲区”的问题，形成齐抓共管的合力。</w:t>
      </w:r>
    </w:p>
    <w:p w14:paraId="41D55273">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val="0"/>
        </w:rPr>
      </w:pPr>
      <w:r>
        <w:rPr>
          <w:rFonts w:ascii="黑体" w:hAnsi="黑体" w:eastAsia="黑体"/>
          <w:b w:val="0"/>
          <w:bCs w:val="0"/>
          <w:color w:val="000000"/>
          <w:sz w:val="32"/>
          <w:szCs w:val="32"/>
        </w:rPr>
        <w:t>二、制定的主要依据</w:t>
      </w:r>
    </w:p>
    <w:p w14:paraId="1EE9F0D8">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楷体_GB2312" w:hAnsi="楷体_GB2312" w:eastAsia="楷体_GB2312" w:cs="楷体_GB2312"/>
          <w:b w:val="0"/>
          <w:bCs w:val="0"/>
        </w:rPr>
      </w:pPr>
      <w:r>
        <w:rPr>
          <w:rFonts w:hint="eastAsia" w:ascii="楷体_GB2312" w:hAnsi="楷体_GB2312" w:eastAsia="楷体_GB2312" w:cs="楷体_GB2312"/>
          <w:b w:val="0"/>
          <w:bCs w:val="0"/>
          <w:color w:val="000000"/>
          <w:sz w:val="32"/>
          <w:szCs w:val="32"/>
        </w:rPr>
        <w:t>（一）《中华人民共和国消防法》</w:t>
      </w:r>
    </w:p>
    <w:p w14:paraId="12B15371">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楷体_GB2312" w:hAnsi="楷体_GB2312" w:eastAsia="楷体_GB2312" w:cs="楷体_GB2312"/>
          <w:b w:val="0"/>
          <w:bCs w:val="0"/>
          <w:lang w:eastAsia="zh-CN"/>
        </w:rPr>
      </w:pPr>
      <w:r>
        <w:rPr>
          <w:rFonts w:hint="eastAsia" w:ascii="楷体_GB2312" w:hAnsi="楷体_GB2312" w:eastAsia="楷体_GB2312" w:cs="楷体_GB2312"/>
          <w:b w:val="0"/>
          <w:bCs w:val="0"/>
          <w:color w:val="000000"/>
          <w:sz w:val="32"/>
          <w:szCs w:val="32"/>
        </w:rPr>
        <w:t>（二）《甘肃省消防条例</w:t>
      </w:r>
      <w:r>
        <w:rPr>
          <w:rFonts w:hint="eastAsia" w:ascii="楷体_GB2312" w:hAnsi="楷体_GB2312" w:eastAsia="楷体_GB2312" w:cs="楷体_GB2312"/>
          <w:b w:val="0"/>
          <w:bCs w:val="0"/>
          <w:color w:val="000000"/>
          <w:sz w:val="32"/>
          <w:szCs w:val="32"/>
          <w:lang w:eastAsia="zh-CN"/>
        </w:rPr>
        <w:t>》</w:t>
      </w:r>
    </w:p>
    <w:p w14:paraId="31BF9B81">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（三）《甘肃省消防安全责任制实施办法》</w:t>
      </w:r>
    </w:p>
    <w:p w14:paraId="2FB6D5B2">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（四）甘肃省安全生产委员会《关于加强小场所消防安全</w:t>
      </w:r>
    </w:p>
    <w:p w14:paraId="43F88504">
      <w:pPr>
        <w:keepNext w:val="0"/>
        <w:keepLines w:val="0"/>
        <w:pageBreakBefore w:val="0"/>
        <w:widowControl w:val="0"/>
        <w:kinsoku/>
        <w:wordWrap/>
        <w:overflowPunct/>
        <w:topLinePunct w:val="0"/>
        <w:autoSpaceDE/>
        <w:autoSpaceDN/>
        <w:bidi w:val="0"/>
        <w:adjustRightInd/>
        <w:snapToGrid/>
        <w:spacing w:before="0" w:after="0" w:line="560" w:lineRule="exact"/>
        <w:ind w:firstLine="1600" w:firstLineChars="500"/>
        <w:jc w:val="both"/>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管理的意见》</w:t>
      </w:r>
    </w:p>
    <w:p w14:paraId="0276C632">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（五）《内蒙古自治区“小单位、小场所”消防安全管理</w:t>
      </w:r>
    </w:p>
    <w:p w14:paraId="53D74531">
      <w:pPr>
        <w:keepNext w:val="0"/>
        <w:keepLines w:val="0"/>
        <w:pageBreakBefore w:val="0"/>
        <w:widowControl w:val="0"/>
        <w:kinsoku/>
        <w:wordWrap/>
        <w:overflowPunct/>
        <w:topLinePunct w:val="0"/>
        <w:autoSpaceDE/>
        <w:autoSpaceDN/>
        <w:bidi w:val="0"/>
        <w:adjustRightInd/>
        <w:snapToGrid/>
        <w:spacing w:before="0" w:after="0" w:line="560" w:lineRule="exact"/>
        <w:ind w:firstLine="1600" w:firstLineChars="500"/>
        <w:jc w:val="both"/>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规定》</w:t>
      </w:r>
    </w:p>
    <w:p w14:paraId="2D80A35F">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w:t>
      </w:r>
      <w:r>
        <w:rPr>
          <w:rFonts w:hint="eastAsia" w:ascii="楷体_GB2312" w:hAnsi="楷体_GB2312" w:eastAsia="楷体_GB2312" w:cs="楷体_GB2312"/>
          <w:b w:val="0"/>
          <w:bCs w:val="0"/>
          <w:color w:val="000000"/>
          <w:sz w:val="32"/>
          <w:szCs w:val="32"/>
          <w:lang w:val="en-US" w:eastAsia="zh-CN"/>
        </w:rPr>
        <w:t>六</w:t>
      </w:r>
      <w:r>
        <w:rPr>
          <w:rFonts w:hint="eastAsia" w:ascii="楷体_GB2312" w:hAnsi="楷体_GB2312" w:eastAsia="楷体_GB2312" w:cs="楷体_GB2312"/>
          <w:b w:val="0"/>
          <w:bCs w:val="0"/>
          <w:color w:val="000000"/>
          <w:sz w:val="32"/>
          <w:szCs w:val="32"/>
        </w:rPr>
        <w:t>）《兰州新区行政规范性文件管理办法》</w:t>
      </w:r>
    </w:p>
    <w:p w14:paraId="4BDE9060">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val="0"/>
        </w:rPr>
      </w:pPr>
      <w:r>
        <w:rPr>
          <w:rFonts w:hint="eastAsia" w:ascii="黑体" w:hAnsi="黑体" w:eastAsia="黑体"/>
          <w:b w:val="0"/>
          <w:bCs w:val="0"/>
          <w:color w:val="000000"/>
          <w:sz w:val="32"/>
          <w:szCs w:val="32"/>
          <w:lang w:val="en-US" w:eastAsia="zh-CN"/>
        </w:rPr>
        <w:t>三</w:t>
      </w:r>
      <w:r>
        <w:rPr>
          <w:rFonts w:ascii="黑体" w:hAnsi="黑体" w:eastAsia="黑体"/>
          <w:b w:val="0"/>
          <w:bCs w:val="0"/>
          <w:color w:val="000000"/>
          <w:sz w:val="32"/>
          <w:szCs w:val="32"/>
        </w:rPr>
        <w:t>、主要内容</w:t>
      </w:r>
    </w:p>
    <w:p w14:paraId="2FA1FF1C">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b w:val="0"/>
          <w:bCs w:val="0"/>
          <w:color w:val="000000"/>
          <w:sz w:val="32"/>
          <w:szCs w:val="32"/>
        </w:rPr>
      </w:pPr>
      <w:r>
        <w:rPr>
          <w:rFonts w:hint="eastAsia" w:ascii="仿宋_GB2312" w:hAnsi="仿宋_GB2312" w:eastAsia="仿宋_GB2312"/>
          <w:b w:val="0"/>
          <w:bCs w:val="0"/>
          <w:color w:val="000000"/>
          <w:sz w:val="32"/>
          <w:szCs w:val="32"/>
        </w:rPr>
        <w:t>《规定》共五章二十八条，分为总则、消防安全责任、规范场所设置、加强风险管理、附则，另附小场所界定标准附件。主要内容如下：</w:t>
      </w:r>
    </w:p>
    <w:p w14:paraId="57A96937">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b w:val="0"/>
          <w:bCs w:val="0"/>
          <w:color w:val="000000"/>
          <w:sz w:val="32"/>
          <w:szCs w:val="32"/>
        </w:rPr>
      </w:pPr>
      <w:r>
        <w:rPr>
          <w:rFonts w:hint="eastAsia" w:ascii="楷体_GB2312" w:hAnsi="楷体_GB2312" w:eastAsia="楷体_GB2312" w:cs="楷体_GB2312"/>
          <w:b w:val="0"/>
          <w:bCs w:val="0"/>
          <w:color w:val="000000"/>
          <w:sz w:val="32"/>
          <w:szCs w:val="32"/>
        </w:rPr>
        <w:t>第一章</w:t>
      </w:r>
      <w:r>
        <w:rPr>
          <w:rFonts w:hint="eastAsia" w:ascii="楷体_GB2312" w:hAnsi="楷体_GB2312" w:eastAsia="楷体_GB2312" w:cs="楷体_GB2312"/>
          <w:b w:val="0"/>
          <w:bCs w:val="0"/>
          <w:color w:val="000000"/>
          <w:sz w:val="32"/>
          <w:szCs w:val="32"/>
          <w:lang w:val="en-US" w:eastAsia="zh-CN"/>
        </w:rPr>
        <w:t>　</w:t>
      </w:r>
      <w:bookmarkStart w:id="0" w:name="_GoBack"/>
      <w:bookmarkEnd w:id="0"/>
      <w:r>
        <w:rPr>
          <w:rFonts w:hint="eastAsia" w:ascii="楷体_GB2312" w:hAnsi="楷体_GB2312" w:eastAsia="楷体_GB2312" w:cs="楷体_GB2312"/>
          <w:b w:val="0"/>
          <w:bCs w:val="0"/>
          <w:color w:val="000000"/>
          <w:sz w:val="32"/>
          <w:szCs w:val="32"/>
        </w:rPr>
        <w:t>总则。</w:t>
      </w:r>
      <w:r>
        <w:rPr>
          <w:rFonts w:hint="eastAsia" w:ascii="仿宋_GB2312" w:hAnsi="仿宋_GB2312" w:eastAsia="仿宋_GB2312"/>
          <w:b w:val="0"/>
          <w:bCs w:val="0"/>
          <w:color w:val="000000"/>
          <w:sz w:val="32"/>
          <w:szCs w:val="32"/>
        </w:rPr>
        <w:t>明确了制定目的、法律依据和适用范围，确立了</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预防为主、防消结合</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的工作方针和</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政府统一领导、部门依法监管、单位全面负责、公民积极参与</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的基本原则，明确实行消防安全责任制。同时以附件形式详细列出了小购物场所、小餐饮场所、小住宿场所等10类小场所的具体界定标准，并规定对新兴业态或特殊场所由消防救援支队会同行业主管部门进行界定和细化，解决了</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管哪些</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的问题。</w:t>
      </w:r>
    </w:p>
    <w:p w14:paraId="0A9DAA0B">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b w:val="0"/>
          <w:bCs w:val="0"/>
          <w:color w:val="000000"/>
          <w:sz w:val="32"/>
          <w:szCs w:val="32"/>
        </w:rPr>
      </w:pPr>
      <w:r>
        <w:rPr>
          <w:rFonts w:hint="eastAsia" w:ascii="楷体_GB2312" w:hAnsi="楷体_GB2312" w:eastAsia="楷体_GB2312" w:cs="楷体_GB2312"/>
          <w:b w:val="0"/>
          <w:bCs w:val="0"/>
          <w:color w:val="000000"/>
          <w:sz w:val="32"/>
          <w:szCs w:val="32"/>
        </w:rPr>
        <w:t>第二章</w:t>
      </w:r>
      <w:r>
        <w:rPr>
          <w:rFonts w:hint="eastAsia" w:ascii="楷体_GB2312" w:hAnsi="楷体_GB2312" w:eastAsia="楷体_GB2312" w:cs="楷体_GB2312"/>
          <w:b w:val="0"/>
          <w:bCs w:val="0"/>
          <w:color w:val="000000"/>
          <w:sz w:val="32"/>
          <w:szCs w:val="32"/>
          <w:lang w:val="en-US" w:eastAsia="zh-CN"/>
        </w:rPr>
        <w:t>　</w:t>
      </w:r>
      <w:r>
        <w:rPr>
          <w:rFonts w:hint="eastAsia" w:ascii="楷体_GB2312" w:hAnsi="楷体_GB2312" w:eastAsia="楷体_GB2312" w:cs="楷体_GB2312"/>
          <w:b w:val="0"/>
          <w:bCs w:val="0"/>
          <w:color w:val="000000"/>
          <w:sz w:val="32"/>
          <w:szCs w:val="32"/>
        </w:rPr>
        <w:t>消防安全责任。</w:t>
      </w:r>
      <w:r>
        <w:rPr>
          <w:rFonts w:hint="eastAsia" w:ascii="仿宋_GB2312" w:hAnsi="仿宋_GB2312" w:eastAsia="仿宋_GB2312"/>
          <w:b w:val="0"/>
          <w:bCs w:val="0"/>
          <w:color w:val="000000"/>
          <w:sz w:val="32"/>
          <w:szCs w:val="32"/>
        </w:rPr>
        <w:t>系统构建了从属地管理、行业监管到单位主体的全链条责任体系。</w:t>
      </w:r>
      <w:r>
        <w:rPr>
          <w:rFonts w:hint="eastAsia" w:ascii="仿宋_GB2312" w:hAnsi="仿宋_GB2312" w:eastAsia="仿宋_GB2312"/>
          <w:b/>
          <w:bCs/>
          <w:color w:val="000000"/>
          <w:sz w:val="32"/>
          <w:szCs w:val="32"/>
        </w:rPr>
        <w:t>一是</w:t>
      </w:r>
      <w:r>
        <w:rPr>
          <w:rFonts w:hint="eastAsia" w:ascii="仿宋_GB2312" w:hAnsi="仿宋_GB2312" w:eastAsia="仿宋_GB2312"/>
          <w:b w:val="0"/>
          <w:bCs w:val="0"/>
          <w:color w:val="000000"/>
          <w:sz w:val="32"/>
          <w:szCs w:val="32"/>
        </w:rPr>
        <w:t>明确项目建设中心、企业服务中心的属地管理责任，统筹开展消防安全管理和隐患排查整治；</w:t>
      </w:r>
      <w:r>
        <w:rPr>
          <w:rFonts w:hint="eastAsia" w:ascii="仿宋_GB2312" w:hAnsi="仿宋_GB2312" w:eastAsia="仿宋_GB2312"/>
          <w:b/>
          <w:bCs/>
          <w:color w:val="000000"/>
          <w:sz w:val="32"/>
          <w:szCs w:val="32"/>
        </w:rPr>
        <w:t>二是</w:t>
      </w:r>
      <w:r>
        <w:rPr>
          <w:rFonts w:hint="eastAsia" w:ascii="仿宋_GB2312" w:hAnsi="仿宋_GB2312" w:eastAsia="仿宋_GB2312"/>
          <w:b w:val="0"/>
          <w:bCs w:val="0"/>
          <w:color w:val="000000"/>
          <w:sz w:val="32"/>
          <w:szCs w:val="32"/>
        </w:rPr>
        <w:t>逐一分解党群政法和社会工作部、民政司法和社会保障局、城乡发展局、教育和卫生健康委员会、应急管理局、商务和市场监督管理局、市公安局新区分局、消防救援支队等8个部门的具体监管职责，并建立信息共享、协调联动、联合查处和案件移送机制；</w:t>
      </w:r>
      <w:r>
        <w:rPr>
          <w:rFonts w:hint="eastAsia" w:ascii="仿宋_GB2312" w:hAnsi="仿宋_GB2312" w:eastAsia="仿宋_GB2312"/>
          <w:b/>
          <w:bCs/>
          <w:color w:val="000000"/>
          <w:sz w:val="32"/>
          <w:szCs w:val="32"/>
        </w:rPr>
        <w:t>三是</w:t>
      </w:r>
      <w:r>
        <w:rPr>
          <w:rFonts w:hint="eastAsia" w:ascii="仿宋_GB2312" w:hAnsi="仿宋_GB2312" w:eastAsia="仿宋_GB2312"/>
          <w:b w:val="0"/>
          <w:bCs w:val="0"/>
          <w:color w:val="000000"/>
          <w:sz w:val="32"/>
          <w:szCs w:val="32"/>
        </w:rPr>
        <w:t>压实镇</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中心社区</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的基层网格化管理责任；</w:t>
      </w:r>
      <w:r>
        <w:rPr>
          <w:rFonts w:hint="eastAsia" w:ascii="仿宋_GB2312" w:hAnsi="仿宋_GB2312" w:eastAsia="仿宋_GB2312"/>
          <w:b/>
          <w:bCs/>
          <w:color w:val="000000"/>
          <w:sz w:val="32"/>
          <w:szCs w:val="32"/>
        </w:rPr>
        <w:t>四是</w:t>
      </w:r>
      <w:r>
        <w:rPr>
          <w:rFonts w:hint="eastAsia" w:ascii="仿宋_GB2312" w:hAnsi="仿宋_GB2312" w:eastAsia="仿宋_GB2312"/>
          <w:b w:val="0"/>
          <w:bCs w:val="0"/>
          <w:color w:val="000000"/>
          <w:sz w:val="32"/>
          <w:szCs w:val="32"/>
        </w:rPr>
        <w:t>细化小场所产权人、承租人、加盟品牌企业等多方主体的消防安全责任，并对建设工程消防审验、公众聚集场所营业前消防安全检查、消防安全责任人能力要求、员工消防培训和防火检查巡查等作出具体规定，解决了</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谁来管、怎么管</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的问题。</w:t>
      </w:r>
    </w:p>
    <w:p w14:paraId="4096F1AA">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b w:val="0"/>
          <w:bCs w:val="0"/>
          <w:color w:val="000000"/>
          <w:sz w:val="32"/>
          <w:szCs w:val="32"/>
        </w:rPr>
      </w:pPr>
      <w:r>
        <w:rPr>
          <w:rFonts w:hint="eastAsia" w:ascii="楷体_GB2312" w:hAnsi="楷体_GB2312" w:eastAsia="楷体_GB2312" w:cs="楷体_GB2312"/>
          <w:b w:val="0"/>
          <w:bCs w:val="0"/>
          <w:color w:val="000000"/>
          <w:sz w:val="32"/>
          <w:szCs w:val="32"/>
        </w:rPr>
        <w:t>第三章</w:t>
      </w:r>
      <w:r>
        <w:rPr>
          <w:rFonts w:hint="eastAsia" w:ascii="楷体_GB2312" w:hAnsi="楷体_GB2312" w:eastAsia="楷体_GB2312" w:cs="楷体_GB2312"/>
          <w:b w:val="0"/>
          <w:bCs w:val="0"/>
          <w:color w:val="000000"/>
          <w:sz w:val="32"/>
          <w:szCs w:val="32"/>
          <w:lang w:val="en-US" w:eastAsia="zh-CN"/>
        </w:rPr>
        <w:t>　</w:t>
      </w:r>
      <w:r>
        <w:rPr>
          <w:rFonts w:hint="eastAsia" w:ascii="楷体_GB2312" w:hAnsi="楷体_GB2312" w:eastAsia="楷体_GB2312" w:cs="楷体_GB2312"/>
          <w:b w:val="0"/>
          <w:bCs w:val="0"/>
          <w:color w:val="000000"/>
          <w:sz w:val="32"/>
          <w:szCs w:val="32"/>
        </w:rPr>
        <w:t>规范场所设置。</w:t>
      </w:r>
      <w:r>
        <w:rPr>
          <w:rFonts w:hint="eastAsia" w:ascii="仿宋_GB2312" w:hAnsi="仿宋_GB2312" w:eastAsia="仿宋_GB2312"/>
          <w:b w:val="0"/>
          <w:bCs w:val="0"/>
          <w:color w:val="000000"/>
          <w:sz w:val="32"/>
          <w:szCs w:val="32"/>
        </w:rPr>
        <w:t>聚焦源头管控和物防技防保障，对装修装饰材料（严禁使用易燃、可燃夹芯彩钢板）、消防设施器材配置和消防安全标志设置、消防安全提示标识、疏散通道和安全出口管理、辅助逃生器材配备等提出明确要求；严禁在人员密集场所门窗设置影响逃生和灭火救援的障碍物，其他场所确需设置防盗设施的应保证火灾时能从内部易于开启或设置逃生窗口；对住宿与生产储存经营区域合用（</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三合一</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）的防火分隔、独立疏散和自救面罩配备作出刚性规定；对厨房明火区域的防火分隔、燃气使用安全和可燃气体报警装置等提出具体防范措施，解决了</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怎么建、怎么设</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的问题。</w:t>
      </w:r>
    </w:p>
    <w:p w14:paraId="2A455079">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b w:val="0"/>
          <w:bCs w:val="0"/>
          <w:color w:val="000000"/>
          <w:sz w:val="32"/>
          <w:szCs w:val="32"/>
        </w:rPr>
      </w:pPr>
      <w:r>
        <w:rPr>
          <w:rFonts w:hint="eastAsia" w:ascii="楷体_GB2312" w:hAnsi="楷体_GB2312" w:eastAsia="楷体_GB2312" w:cs="楷体_GB2312"/>
          <w:b w:val="0"/>
          <w:bCs w:val="0"/>
          <w:color w:val="000000"/>
          <w:sz w:val="32"/>
          <w:szCs w:val="32"/>
        </w:rPr>
        <w:t>第四章</w:t>
      </w:r>
      <w:r>
        <w:rPr>
          <w:rFonts w:hint="eastAsia" w:ascii="楷体_GB2312" w:hAnsi="楷体_GB2312" w:eastAsia="楷体_GB2312" w:cs="楷体_GB2312"/>
          <w:b w:val="0"/>
          <w:bCs w:val="0"/>
          <w:color w:val="000000"/>
          <w:sz w:val="32"/>
          <w:szCs w:val="32"/>
          <w:lang w:val="en-US" w:eastAsia="zh-CN"/>
        </w:rPr>
        <w:t>　</w:t>
      </w:r>
      <w:r>
        <w:rPr>
          <w:rFonts w:hint="eastAsia" w:ascii="楷体_GB2312" w:hAnsi="楷体_GB2312" w:eastAsia="楷体_GB2312" w:cs="楷体_GB2312"/>
          <w:b w:val="0"/>
          <w:bCs w:val="0"/>
          <w:color w:val="000000"/>
          <w:sz w:val="32"/>
          <w:szCs w:val="32"/>
        </w:rPr>
        <w:t>加强风险管理。</w:t>
      </w:r>
      <w:r>
        <w:rPr>
          <w:rFonts w:hint="eastAsia" w:ascii="仿宋_GB2312" w:hAnsi="仿宋_GB2312" w:eastAsia="仿宋_GB2312"/>
          <w:b w:val="0"/>
          <w:bCs w:val="0"/>
          <w:color w:val="000000"/>
          <w:sz w:val="32"/>
          <w:szCs w:val="32"/>
        </w:rPr>
        <w:t>聚焦日常高频火灾诱因和突出风险隐患，针对消防设施器材管理、疏散通道畅通、电气线路敷设和用电安全、厨房油烟道清洗和气源管理、营业期间和非营业期间动火作业审批与监护、电动自行车停放充电管理等重点环节，制定了详细的禁止性规定和操作规范，从日常行为层面筑牢火灾防控防线，解决了</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怎么防、怎么控</w:t>
      </w:r>
      <w:r>
        <w:rPr>
          <w:rFonts w:hint="eastAsia"/>
          <w:b w:val="0"/>
          <w:bCs w:val="0"/>
          <w:color w:val="000000"/>
          <w:sz w:val="32"/>
          <w:szCs w:val="32"/>
          <w:lang w:eastAsia="zh-CN"/>
        </w:rPr>
        <w:t>”</w:t>
      </w:r>
      <w:r>
        <w:rPr>
          <w:rFonts w:hint="eastAsia" w:ascii="仿宋_GB2312" w:hAnsi="仿宋_GB2312" w:eastAsia="仿宋_GB2312"/>
          <w:b w:val="0"/>
          <w:bCs w:val="0"/>
          <w:color w:val="000000"/>
          <w:sz w:val="32"/>
          <w:szCs w:val="32"/>
        </w:rPr>
        <w:t>的问题。</w:t>
      </w:r>
    </w:p>
    <w:p w14:paraId="67F45384">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b w:val="0"/>
          <w:bCs w:val="0"/>
          <w:color w:val="000000"/>
          <w:sz w:val="32"/>
          <w:szCs w:val="32"/>
        </w:rPr>
      </w:pPr>
      <w:r>
        <w:rPr>
          <w:rFonts w:hint="eastAsia" w:ascii="楷体_GB2312" w:hAnsi="楷体_GB2312" w:eastAsia="楷体_GB2312" w:cs="楷体_GB2312"/>
          <w:b w:val="0"/>
          <w:bCs w:val="0"/>
          <w:color w:val="000000"/>
          <w:sz w:val="32"/>
          <w:szCs w:val="32"/>
        </w:rPr>
        <w:t>第五章</w:t>
      </w:r>
      <w:r>
        <w:rPr>
          <w:rFonts w:hint="eastAsia" w:ascii="楷体_GB2312" w:hAnsi="楷体_GB2312" w:eastAsia="楷体_GB2312" w:cs="楷体_GB2312"/>
          <w:b w:val="0"/>
          <w:bCs w:val="0"/>
          <w:color w:val="000000"/>
          <w:sz w:val="32"/>
          <w:szCs w:val="32"/>
          <w:lang w:val="en-US" w:eastAsia="zh-CN"/>
        </w:rPr>
        <w:t>　</w:t>
      </w:r>
      <w:r>
        <w:rPr>
          <w:rFonts w:hint="eastAsia" w:ascii="楷体_GB2312" w:hAnsi="楷体_GB2312" w:eastAsia="楷体_GB2312" w:cs="楷体_GB2312"/>
          <w:b w:val="0"/>
          <w:bCs w:val="0"/>
          <w:color w:val="000000"/>
          <w:sz w:val="32"/>
          <w:szCs w:val="32"/>
        </w:rPr>
        <w:t>附则。</w:t>
      </w:r>
      <w:r>
        <w:rPr>
          <w:rFonts w:hint="eastAsia" w:ascii="仿宋_GB2312" w:hAnsi="仿宋_GB2312" w:eastAsia="仿宋_GB2312"/>
          <w:b w:val="0"/>
          <w:bCs w:val="0"/>
          <w:color w:val="000000"/>
          <w:sz w:val="32"/>
          <w:szCs w:val="32"/>
        </w:rPr>
        <w:t>明确了《规定》的解释主体为新区消防救援支队，规定了施行日期及五年有效期。</w:t>
      </w:r>
    </w:p>
    <w:p w14:paraId="691EFBFF">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、实施意义</w:t>
      </w:r>
    </w:p>
    <w:p w14:paraId="3AB8EADC">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b w:val="0"/>
          <w:bCs w:val="0"/>
        </w:rPr>
      </w:pPr>
      <w:r>
        <w:rPr>
          <w:rFonts w:hint="eastAsia" w:ascii="楷体_GB2312" w:hAnsi="楷体_GB2312" w:eastAsia="楷体_GB2312" w:cs="楷体_GB2312"/>
          <w:b w:val="0"/>
          <w:bCs w:val="0"/>
          <w:color w:val="000000"/>
          <w:sz w:val="32"/>
          <w:szCs w:val="32"/>
        </w:rPr>
        <w:t>（一）织密制度之网，填补监管空白。</w:t>
      </w:r>
      <w:r>
        <w:rPr>
          <w:rFonts w:hint="eastAsia"/>
          <w:b w:val="0"/>
          <w:bCs w:val="0"/>
        </w:rPr>
        <w:t>长期以来，小场所消防安全管理缺乏系统性、针对性的制度规范，上位法的原则性规定难以直接落地执行。《规定》的出台，全面承接甘肃省安委会《关于加强小场所消防安全管理的意见》精神，紧密结合新区实际，将法律法规的刚性要求转化为可操作、可量化、可考核的具体条款，有效填补了新区小场所消防安全管理的制度空白，为基层消防治理提供了坚实的制度支撑和执法依据。</w:t>
      </w:r>
    </w:p>
    <w:p w14:paraId="22466361">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rFonts w:hint="eastAsia"/>
          <w:b w:val="0"/>
          <w:bCs w:val="0"/>
        </w:rPr>
      </w:pPr>
      <w:r>
        <w:rPr>
          <w:rFonts w:hint="eastAsia" w:ascii="楷体_GB2312" w:hAnsi="楷体_GB2312" w:eastAsia="楷体_GB2312" w:cs="楷体_GB2312"/>
          <w:b w:val="0"/>
          <w:bCs w:val="0"/>
          <w:color w:val="000000"/>
          <w:sz w:val="32"/>
          <w:szCs w:val="32"/>
        </w:rPr>
        <w:t>（二）厘清责任之链，凝聚共治合力。</w:t>
      </w:r>
      <w:r>
        <w:rPr>
          <w:rFonts w:hint="eastAsia"/>
          <w:b w:val="0"/>
          <w:bCs w:val="0"/>
        </w:rPr>
        <w:t>小场所量大面广、业态复杂，涉及多个行业部门和管理层级，容易出现</w:t>
      </w:r>
      <w:r>
        <w:rPr>
          <w:rFonts w:hint="eastAsia"/>
          <w:b w:val="0"/>
          <w:bCs w:val="0"/>
          <w:lang w:eastAsia="zh-CN"/>
        </w:rPr>
        <w:t>“</w:t>
      </w:r>
      <w:r>
        <w:rPr>
          <w:rFonts w:hint="eastAsia"/>
          <w:b w:val="0"/>
          <w:bCs w:val="0"/>
        </w:rPr>
        <w:t>职责交叉</w:t>
      </w:r>
      <w:r>
        <w:rPr>
          <w:rFonts w:hint="eastAsia"/>
          <w:b w:val="0"/>
          <w:bCs w:val="0"/>
          <w:lang w:eastAsia="zh-CN"/>
        </w:rPr>
        <w:t>”</w:t>
      </w:r>
      <w:r>
        <w:rPr>
          <w:rFonts w:hint="eastAsia"/>
          <w:b w:val="0"/>
          <w:bCs w:val="0"/>
        </w:rPr>
        <w:t>或</w:t>
      </w:r>
      <w:r>
        <w:rPr>
          <w:rFonts w:hint="eastAsia"/>
          <w:b w:val="0"/>
          <w:bCs w:val="0"/>
          <w:lang w:eastAsia="zh-CN"/>
        </w:rPr>
        <w:t>“</w:t>
      </w:r>
      <w:r>
        <w:rPr>
          <w:rFonts w:hint="eastAsia"/>
          <w:b w:val="0"/>
          <w:bCs w:val="0"/>
        </w:rPr>
        <w:t>监管盲区</w:t>
      </w:r>
      <w:r>
        <w:rPr>
          <w:rFonts w:hint="eastAsia"/>
          <w:b w:val="0"/>
          <w:bCs w:val="0"/>
          <w:lang w:eastAsia="zh-CN"/>
        </w:rPr>
        <w:t>”</w:t>
      </w:r>
      <w:r>
        <w:rPr>
          <w:rFonts w:hint="eastAsia"/>
          <w:b w:val="0"/>
          <w:bCs w:val="0"/>
        </w:rPr>
        <w:t>。《规定》逐章逐条厘清了属地管理、行业监管和单位主体三个层面的责任边界，建立了信息共享、协调联动、联合查处和案件移送机制，将</w:t>
      </w:r>
      <w:r>
        <w:rPr>
          <w:rFonts w:hint="eastAsia"/>
          <w:b w:val="0"/>
          <w:bCs w:val="0"/>
          <w:lang w:eastAsia="zh-CN"/>
        </w:rPr>
        <w:t>“</w:t>
      </w:r>
      <w:r>
        <w:rPr>
          <w:rFonts w:hint="eastAsia"/>
          <w:b w:val="0"/>
          <w:bCs w:val="0"/>
        </w:rPr>
        <w:t>管行业必须管安全</w:t>
      </w:r>
      <w:r>
        <w:rPr>
          <w:rFonts w:hint="eastAsia"/>
          <w:b w:val="0"/>
          <w:bCs w:val="0"/>
          <w:lang w:eastAsia="zh-CN"/>
        </w:rPr>
        <w:t>”</w:t>
      </w:r>
      <w:r>
        <w:rPr>
          <w:rFonts w:hint="eastAsia"/>
          <w:b w:val="0"/>
          <w:bCs w:val="0"/>
        </w:rPr>
        <w:t>的要求落实到具体部门、具体岗位，推动形成</w:t>
      </w:r>
      <w:r>
        <w:rPr>
          <w:rFonts w:hint="eastAsia"/>
          <w:b w:val="0"/>
          <w:bCs w:val="0"/>
          <w:lang w:eastAsia="zh-CN"/>
        </w:rPr>
        <w:t>“</w:t>
      </w:r>
      <w:r>
        <w:rPr>
          <w:rFonts w:hint="eastAsia"/>
          <w:b w:val="0"/>
          <w:bCs w:val="0"/>
        </w:rPr>
        <w:t>政府统一领导、部门依法监管、单位全面负责、公民积极参与</w:t>
      </w:r>
      <w:r>
        <w:rPr>
          <w:rFonts w:hint="eastAsia"/>
          <w:b w:val="0"/>
          <w:bCs w:val="0"/>
          <w:lang w:eastAsia="zh-CN"/>
        </w:rPr>
        <w:t>”</w:t>
      </w:r>
      <w:r>
        <w:rPr>
          <w:rFonts w:hint="eastAsia"/>
          <w:b w:val="0"/>
          <w:bCs w:val="0"/>
        </w:rPr>
        <w:t>的消防安全共治格局。</w:t>
      </w:r>
    </w:p>
    <w:p w14:paraId="4D81E3A1">
      <w:pPr>
        <w:keepNext w:val="0"/>
        <w:keepLines w:val="0"/>
        <w:pageBreakBefore w:val="0"/>
        <w:widowControl w:val="0"/>
        <w:kinsoku/>
        <w:wordWrap/>
        <w:overflowPunct/>
        <w:topLinePunct w:val="0"/>
        <w:autoSpaceDE/>
        <w:autoSpaceDN/>
        <w:bidi w:val="0"/>
        <w:adjustRightInd/>
        <w:snapToGrid/>
        <w:spacing w:before="0" w:after="0" w:line="560" w:lineRule="exact"/>
        <w:ind w:firstLine="640"/>
        <w:jc w:val="both"/>
        <w:textAlignment w:val="auto"/>
        <w:rPr>
          <w:b w:val="0"/>
          <w:bCs w:val="0"/>
        </w:rPr>
      </w:pPr>
      <w:r>
        <w:rPr>
          <w:rFonts w:hint="eastAsia" w:ascii="楷体_GB2312" w:hAnsi="楷体_GB2312" w:eastAsia="楷体_GB2312" w:cs="楷体_GB2312"/>
          <w:b w:val="0"/>
          <w:bCs w:val="0"/>
          <w:color w:val="000000"/>
          <w:sz w:val="32"/>
          <w:szCs w:val="32"/>
        </w:rPr>
        <w:t>（三）筑牢安全之基，守护民生福祉。</w:t>
      </w:r>
      <w:r>
        <w:rPr>
          <w:rFonts w:hint="eastAsia"/>
          <w:b w:val="0"/>
          <w:bCs w:val="0"/>
        </w:rPr>
        <w:t>小场所与人民群众日常生产生活密切相关，</w:t>
      </w:r>
      <w:r>
        <w:rPr>
          <w:rFonts w:hint="eastAsia"/>
          <w:b w:val="0"/>
          <w:bCs w:val="0"/>
          <w:lang w:eastAsia="zh-CN"/>
        </w:rPr>
        <w:t>“</w:t>
      </w:r>
      <w:r>
        <w:rPr>
          <w:rFonts w:hint="eastAsia"/>
          <w:b w:val="0"/>
          <w:bCs w:val="0"/>
        </w:rPr>
        <w:t>小火亡人</w:t>
      </w:r>
      <w:r>
        <w:rPr>
          <w:rFonts w:hint="eastAsia"/>
          <w:b w:val="0"/>
          <w:bCs w:val="0"/>
          <w:lang w:eastAsia="zh-CN"/>
        </w:rPr>
        <w:t>”</w:t>
      </w:r>
      <w:r>
        <w:rPr>
          <w:rFonts w:hint="eastAsia"/>
          <w:b w:val="0"/>
          <w:bCs w:val="0"/>
        </w:rPr>
        <w:t>事故严重威胁群众生命财产安全。《规定》紧盯违规住人、易燃材料装修、防盗网封堵逃生通道、违规动火动焊、电动自行车室内充电等顽瘴痼疾，从场所设置规范到日常风险管控，全流程提出刚性要求，着力从源头上消除火灾隐患、从根本上防范火灾风险，切实保障人民群众生命财产安全，为新区经济社会高质量发展营造安全稳定的消防环境。</w:t>
      </w:r>
    </w:p>
    <w:sectPr>
      <w:footerReference r:id="rId5" w:type="default"/>
      <w:pgSz w:w="11906" w:h="16838"/>
      <w:pgMar w:top="2098" w:right="1474" w:bottom="1984" w:left="1587" w:header="851" w:footer="992"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B1D4D">
    <w:pPr>
      <w:pStyle w:val="2"/>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E39E514">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hdrShapeDefaults>
    <o:shapelayout v:ext="edit">
      <o:idmap v:ext="edit" data="3,4"/>
    </o:shapelayout>
  </w:hdrShapeDefaults>
  <w:footnotePr>
    <w:footnote w:id="0"/>
    <w:footnote w:id="1"/>
  </w:footnotePr>
  <w:endnotePr>
    <w:endnote w:id="0"/>
    <w:endnote w:id="1"/>
  </w:endnotePr>
  <w:compat>
    <w:useFELayout/>
    <w:splitPgBreakAndParaMark/>
    <w:compatSetting w:name="compatibilityMode" w:uri="http://schemas.microsoft.com/office/word" w:val="12"/>
  </w:compat>
  <w:rsids>
    <w:rsidRoot w:val="00000000"/>
    <w:rsid w:val="067C708D"/>
    <w:rsid w:val="08AC5436"/>
    <w:rsid w:val="0A771FEC"/>
    <w:rsid w:val="1A011AF3"/>
    <w:rsid w:val="1A0A5C1B"/>
    <w:rsid w:val="1BCC10EC"/>
    <w:rsid w:val="26B40B71"/>
    <w:rsid w:val="343C4C08"/>
    <w:rsid w:val="4760218C"/>
    <w:rsid w:val="49B94735"/>
    <w:rsid w:val="51805A47"/>
    <w:rsid w:val="53B35B89"/>
    <w:rsid w:val="604133C0"/>
    <w:rsid w:val="66661AB5"/>
    <w:rsid w:val="6B914A1D"/>
    <w:rsid w:val="745756B7"/>
    <w:rsid w:val="74D55484"/>
    <w:rsid w:val="7AE53FCA"/>
    <w:rsid w:val="7E3647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0" w:line="560" w:lineRule="exact"/>
      <w:ind w:firstLine="640"/>
      <w:jc w:val="both"/>
    </w:pPr>
    <w:rPr>
      <w:rFonts w:ascii="仿宋_GB2312" w:hAnsi="仿宋_GB2312" w:eastAsia="仿宋_GB2312" w:cstheme="minorBidi"/>
      <w:color w:val="000000"/>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2.xml><?xml version="1.0" encoding="utf-8"?>
<contractReview xmlns="http://schemas.wps.cn/vas-ai-hub/contract-review">
  <reviewItems>
    <reviewItem>
      <errorID>ae0d6851-5ca5-4f19-bd23-65e9ad4b8640</errorID>
      <errorWord>"</errorWord>
      <group>L1_Format</group>
      <groupName>格式问题</groupName>
      <ability>L2_HalfPunc_CN</ability>
      <abilityName>全半角检查</abilityName>
      <candidateList>
        <item>“</item>
      </candidateList>
      <explain>文本全半角错误。</explain>
      <paraID>57A96937</paraID>
      <start>28</start>
      <end>29</end>
      <status>modified</status>
      <modifiedWord>“</modifiedWord>
      <trackRevisions>false</trackRevisions>
    </reviewItem>
    <reviewItem>
      <errorID>ea7ece8a-def3-4a20-911e-5da3d1786bb7</errorID>
      <errorWord>"</errorWord>
      <group>L1_Format</group>
      <groupName>格式问题</groupName>
      <ability>L2_HalfPunc_CN</ability>
      <abilityName>全半角检查</abilityName>
      <candidateList>
        <item>”</item>
      </candidateList>
      <explain>文本全半角错误。</explain>
      <paraID>57A96937</paraID>
      <start>38</start>
      <end>39</end>
      <status>modified</status>
      <modifiedWord>”</modifiedWord>
      <trackRevisions>false</trackRevisions>
    </reviewItem>
    <reviewItem>
      <errorID>b271c1b5-c8e1-44e7-9d4e-2a901dd01078</errorID>
      <errorWord>"</errorWord>
      <group>L1_Format</group>
      <groupName>格式问题</groupName>
      <ability>L2_HalfPunc_CN</ability>
      <abilityName>全半角检查</abilityName>
      <candidateList>
        <item>“</item>
      </candidateList>
      <explain>文本全半角错误。</explain>
      <paraID>57A96937</paraID>
      <start>45</start>
      <end>46</end>
      <status>modified</status>
      <modifiedWord>“</modifiedWord>
      <trackRevisions>false</trackRevisions>
    </reviewItem>
    <reviewItem>
      <errorID>cbc69d97-2d6c-4bf6-b141-e981eaa334c5</errorID>
      <errorWord>"</errorWord>
      <group>L1_Format</group>
      <groupName>格式问题</groupName>
      <ability>L2_HalfPunc_CN</ability>
      <abilityName>全半角检查</abilityName>
      <candidateList>
        <item>”</item>
      </candidateList>
      <explain>文本全半角错误。</explain>
      <paraID>57A96937</paraID>
      <start>73</start>
      <end>74</end>
      <status>modified</status>
      <modifiedWord>”</modifiedWord>
      <trackRevisions>false</trackRevisions>
    </reviewItem>
    <reviewItem>
      <errorID>6adb5e40-f415-4478-8c6c-c4755a143372</errorID>
      <errorWord>"</errorWord>
      <group>L1_Format</group>
      <groupName>格式问题</groupName>
      <ability>L2_HalfPunc_CN</ability>
      <abilityName>全半角检查</abilityName>
      <candidateList>
        <item>“</item>
      </candidateList>
      <explain>文本全半角错误。</explain>
      <paraID>57A96937</paraID>
      <start>175</start>
      <end>176</end>
      <status>modified</status>
      <modifiedWord>“</modifiedWord>
      <trackRevisions>false</trackRevisions>
    </reviewItem>
    <reviewItem>
      <errorID>6df31223-d975-44fa-92b3-65a45ec40d3b</errorID>
      <errorWord>"</errorWord>
      <group>L1_Format</group>
      <groupName>格式问题</groupName>
      <ability>L2_HalfPunc_CN</ability>
      <abilityName>全半角检查</abilityName>
      <candidateList>
        <item>”</item>
      </candidateList>
      <explain>文本全半角错误。</explain>
      <paraID>57A96937</paraID>
      <start>179</start>
      <end>180</end>
      <status>modified</status>
      <modifiedWord>”</modifiedWord>
      <trackRevisions>false</trackRevisions>
    </reviewItem>
    <reviewItem>
      <errorID>90ad1a46-ac5a-46dc-b530-3636ef922876</errorID>
      <errorWord>"</errorWord>
      <group>L1_Format</group>
      <groupName>格式问题</groupName>
      <ability>L2_HalfPunc_CN</ability>
      <abilityName>全半角检查</abilityName>
      <candidateList>
        <item>“</item>
      </candidateList>
      <explain>文本全半角错误。</explain>
      <paraID> A9DAA0B</paraID>
      <start>316</start>
      <end>317</end>
      <status>modified</status>
      <modifiedWord>“</modifiedWord>
      <trackRevisions>false</trackRevisions>
    </reviewItem>
    <reviewItem>
      <errorID>20ef528d-440f-40a4-b961-d54fcf5a7ff9</errorID>
      <errorWord>"</errorWord>
      <group>L1_Format</group>
      <groupName>格式问题</groupName>
      <ability>L2_HalfPunc_CN</ability>
      <abilityName>全半角检查</abilityName>
      <candidateList>
        <item>”</item>
      </candidateList>
      <explain>文本全半角错误。</explain>
      <paraID> A9DAA0B</paraID>
      <start>324</start>
      <end>325</end>
      <status>modified</status>
      <modifiedWord>”</modifiedWord>
      <trackRevisions>false</trackRevisions>
    </reviewItem>
    <reviewItem>
      <errorID>f1ca3e0e-9c82-4d09-a3d5-c7e5e741f6bd</errorID>
      <errorWord>"</errorWord>
      <group>L1_Format</group>
      <groupName>格式问题</groupName>
      <ability>L2_HalfPunc_CN</ability>
      <abilityName>全半角检查</abilityName>
      <candidateList>
        <item>“</item>
      </candidateList>
      <explain>文本全半角错误。</explain>
      <paraID>4096F1AA</paraID>
      <start>181</start>
      <end>182</end>
      <status>modified</status>
      <modifiedWord>“</modifiedWord>
      <trackRevisions>false</trackRevisions>
    </reviewItem>
    <reviewItem>
      <errorID>3816ef5f-2a77-4026-b796-dce7d64338a8</errorID>
      <errorWord>"</errorWord>
      <group>L1_Format</group>
      <groupName>格式问题</groupName>
      <ability>L2_HalfPunc_CN</ability>
      <abilityName>全半角检查</abilityName>
      <candidateList>
        <item>”</item>
      </candidateList>
      <explain>文本全半角错误。</explain>
      <paraID>4096F1AA</paraID>
      <start>185</start>
      <end>186</end>
      <status>modified</status>
      <modifiedWord>”</modifiedWord>
      <trackRevisions>false</trackRevisions>
    </reviewItem>
    <reviewItem>
      <errorID>0a23c68a-a1bb-4f1d-b556-996e6d89a049</errorID>
      <errorWord>"</errorWord>
      <group>L1_Format</group>
      <groupName>格式问题</groupName>
      <ability>L2_HalfPunc_CN</ability>
      <abilityName>全半角检查</abilityName>
      <candidateList>
        <item>“</item>
      </candidateList>
      <explain>文本全半角错误。</explain>
      <paraID>4096F1AA</paraID>
      <start>252</start>
      <end>253</end>
      <status>modified</status>
      <modifiedWord>“</modifiedWord>
      <trackRevisions>false</trackRevisions>
    </reviewItem>
    <reviewItem>
      <errorID>995bfbc2-fe87-4396-b52c-e918b49af839</errorID>
      <errorWord>"</errorWord>
      <group>L1_Format</group>
      <groupName>格式问题</groupName>
      <ability>L2_HalfPunc_CN</ability>
      <abilityName>全半角检查</abilityName>
      <candidateList>
        <item>”</item>
      </candidateList>
      <explain>文本全半角错误。</explain>
      <paraID>4096F1AA</paraID>
      <start>260</start>
      <end>261</end>
      <status>modified</status>
      <modifiedWord>”</modifiedWord>
      <trackRevisions>false</trackRevisions>
    </reviewItem>
    <reviewItem>
      <errorID>8c01853a-d0bd-4b44-a1aa-0bc871d6ffd3</errorID>
      <errorWord>"</errorWord>
      <group>L1_Format</group>
      <groupName>格式问题</groupName>
      <ability>L2_HalfPunc_CN</ability>
      <abilityName>全半角检查</abilityName>
      <candidateList>
        <item>“</item>
      </candidateList>
      <explain>文本全半角错误。</explain>
      <paraID>2A455079</paraID>
      <start>145</start>
      <end>146</end>
      <status>modified</status>
      <modifiedWord>“</modifiedWord>
      <trackRevisions>false</trackRevisions>
    </reviewItem>
    <reviewItem>
      <errorID>e07e6402-502d-4eb3-9cf5-7f75bdde5c1f</errorID>
      <errorWord>"</errorWord>
      <group>L1_Format</group>
      <groupName>格式问题</groupName>
      <ability>L2_HalfPunc_CN</ability>
      <abilityName>全半角检查</abilityName>
      <candidateList>
        <item>”</item>
      </candidateList>
      <explain>文本全半角错误。</explain>
      <paraID>2A455079</paraID>
      <start>153</start>
      <end>154</end>
      <status>modified</status>
      <modifiedWord>”</modifiedWord>
      <trackRevisions>false</trackRevisions>
    </reviewItem>
    <reviewItem>
      <errorID>b2571d0e-4320-4963-b250-53f0c7c4c976</errorID>
      <errorWord>"</errorWord>
      <group>L1_Format</group>
      <groupName>格式问题</groupName>
      <ability>L2_HalfPunc_CN</ability>
      <abilityName>全半角检查</abilityName>
      <candidateList>
        <item>“</item>
      </candidateList>
      <explain>文本全半角错误。</explain>
      <paraID>22466361</paraID>
      <start>48</start>
      <end>49</end>
      <status>modified</status>
      <modifiedWord>“</modifiedWord>
      <trackRevisions>false</trackRevisions>
    </reviewItem>
    <reviewItem>
      <errorID>c6af982e-96ea-4ede-acd2-dd7cb50e634e</errorID>
      <errorWord>"</errorWord>
      <group>L1_Format</group>
      <groupName>格式问题</groupName>
      <ability>L2_HalfPunc_CN</ability>
      <abilityName>全半角检查</abilityName>
      <candidateList>
        <item>”</item>
      </candidateList>
      <explain>文本全半角错误。</explain>
      <paraID>22466361</paraID>
      <start>53</start>
      <end>54</end>
      <status>modified</status>
      <modifiedWord>”</modifiedWord>
      <trackRevisions>false</trackRevisions>
    </reviewItem>
    <reviewItem>
      <errorID>0e8fa8d8-0493-4f32-85d1-264b3e073518</errorID>
      <errorWord>"</errorWord>
      <group>L1_Format</group>
      <groupName>格式问题</groupName>
      <ability>L2_HalfPunc_CN</ability>
      <abilityName>全半角检查</abilityName>
      <candidateList>
        <item>“</item>
      </candidateList>
      <explain>文本全半角错误。</explain>
      <paraID>22466361</paraID>
      <start>55</start>
      <end>56</end>
      <status>modified</status>
      <modifiedWord>“</modifiedWord>
      <trackRevisions>false</trackRevisions>
    </reviewItem>
    <reviewItem>
      <errorID>ee399fe6-0f8d-4bfb-abb9-7712b6a3a026</errorID>
      <errorWord>"</errorWord>
      <group>L1_Format</group>
      <groupName>格式问题</groupName>
      <ability>L2_HalfPunc_CN</ability>
      <abilityName>全半角检查</abilityName>
      <candidateList>
        <item>”</item>
      </candidateList>
      <explain>文本全半角错误。</explain>
      <paraID>22466361</paraID>
      <start>60</start>
      <end>61</end>
      <status>modified</status>
      <modifiedWord>”</modifiedWord>
      <trackRevisions>false</trackRevisions>
    </reviewItem>
    <reviewItem>
      <errorID>15621a1a-88d9-474f-81ca-c13d0f20f77f</errorID>
      <errorWord>"</errorWord>
      <group>L1_Format</group>
      <groupName>格式问题</groupName>
      <ability>L2_HalfPunc_CN</ability>
      <abilityName>全半角检查</abilityName>
      <candidateList>
        <item>“</item>
      </candidateList>
      <explain>文本全半角错误。</explain>
      <paraID>22466361</paraID>
      <start>123</start>
      <end>124</end>
      <status>modified</status>
      <modifiedWord>“</modifiedWord>
      <trackRevisions>false</trackRevisions>
    </reviewItem>
    <reviewItem>
      <errorID>156a0ebb-c985-489b-8e21-b5aa70ecbea8</errorID>
      <errorWord>"</errorWord>
      <group>L1_Format</group>
      <groupName>格式问题</groupName>
      <ability>L2_HalfPunc_CN</ability>
      <abilityName>全半角检查</abilityName>
      <candidateList>
        <item>”</item>
      </candidateList>
      <explain>文本全半角错误。</explain>
      <paraID>22466361</paraID>
      <start>132</start>
      <end>133</end>
      <status>modified</status>
      <modifiedWord>”</modifiedWord>
      <trackRevisions>false</trackRevisions>
    </reviewItem>
    <reviewItem>
      <errorID>54ba4fcc-ce8a-4bff-9a37-f5802a0dd384</errorID>
      <errorWord>"</errorWord>
      <group>L1_Format</group>
      <groupName>格式问题</groupName>
      <ability>L2_HalfPunc_CN</ability>
      <abilityName>全半角检查</abilityName>
      <candidateList>
        <item>“</item>
      </candidateList>
      <explain>文本全半角错误。</explain>
      <paraID>22466361</paraID>
      <start>153</start>
      <end>154</end>
      <status>modified</status>
      <modifiedWord>“</modifiedWord>
      <trackRevisions>false</trackRevisions>
    </reviewItem>
    <reviewItem>
      <errorID>68507768-4c3b-40f7-b5ac-aae3f25de2b4</errorID>
      <errorWord>"</errorWord>
      <group>L1_Format</group>
      <groupName>格式问题</groupName>
      <ability>L2_HalfPunc_CN</ability>
      <abilityName>全半角检查</abilityName>
      <candidateList>
        <item>”</item>
      </candidateList>
      <explain>文本全半角错误。</explain>
      <paraID>22466361</paraID>
      <start>181</start>
      <end>182</end>
      <status>modified</status>
      <modifiedWord>”</modifiedWord>
      <trackRevisions>false</trackRevisions>
    </reviewItem>
    <reviewItem>
      <errorID>0f081aaf-989c-4179-b537-e15e61e118ea</errorID>
      <errorWord>"</errorWord>
      <group>L1_Format</group>
      <groupName>格式问题</groupName>
      <ability>L2_HalfPunc_CN</ability>
      <abilityName>全半角检查</abilityName>
      <candidateList>
        <item>“</item>
      </candidateList>
      <explain>文本全半角错误。</explain>
      <paraID>4D81E3A1</paraID>
      <start>36</start>
      <end>37</end>
      <status>modified</status>
      <modifiedWord>“</modifiedWord>
      <trackRevisions>false</trackRevisions>
    </reviewItem>
    <reviewItem>
      <errorID>438d6266-0e75-45f6-ba22-16756fae6342</errorID>
      <errorWord>"</errorWord>
      <group>L1_Format</group>
      <groupName>格式问题</groupName>
      <ability>L2_HalfPunc_CN</ability>
      <abilityName>全半角检查</abilityName>
      <candidateList>
        <item>”</item>
      </candidateList>
      <explain>文本全半角错误。</explain>
      <paraID>4D81E3A1</paraID>
      <start>41</start>
      <end>42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68b630-d1bc-497a-8d4d-1a9af3bf5617}">
  <ds:schemaRefs/>
</ds:datastoreItem>
</file>

<file path=docProps/app.xml><?xml version="1.0" encoding="utf-8"?>
<Properties xmlns="http://schemas.openxmlformats.org/officeDocument/2006/extended-properties" xmlns:vt="http://schemas.openxmlformats.org/officeDocument/2006/docPropsVTypes">
  <Pages>6</Pages>
  <Words>2518</Words>
  <Characters>2530</Characters>
  <TotalTime>2</TotalTime>
  <ScaleCrop>false</ScaleCrop>
  <LinksUpToDate>false</LinksUpToDate>
  <CharactersWithSpaces>2530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2026-07-14T16:05:00Z</dcterms:created>
  <dc:creator>Lenovo</dc:creator>
  <cp:lastModifiedBy>许先贤</cp:lastModifiedBy>
  <dcterms:modified xsi:type="dcterms:W3CDTF">2026-07-16T03:54:12Z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eyJoZGlkIjoiODZkMzg3M2VkMzc5YmI3MTNmZmE0MGU1ZGI2MzVmY2YiLCJ1c2VySWQiOiIyNzI2NzQzNjAifQ==</vt:lpwstr>
  </property>
  <property fmtid="{D5CDD505-2E9C-101B-9397-08002B2CF9AE}" pid="3" name="KSOProductBuildVer">
    <vt:lpwstr>2052-12.1.0.26895</vt:lpwstr>
  </property>
  <property fmtid="{D5CDD505-2E9C-101B-9397-08002B2CF9AE}" pid="4" name="ICV">
    <vt:lpwstr>30DB8BB8E27D44C8B7AE0F10A020DE1D_12</vt:lpwstr>
  </property>
</Properties>
</file>