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D4D6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关于《兰州新区商务和市场监管领域</w:t>
      </w:r>
    </w:p>
    <w:p w14:paraId="28A223D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行政执法“观察期”制度（试行）》的</w:t>
      </w:r>
    </w:p>
    <w:p w14:paraId="09CB2E4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起草说明</w:t>
      </w:r>
    </w:p>
    <w:p w14:paraId="524E1D77">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深入贯彻落实优化法治化营商环境、推行柔性执法、服务市场主体发展的工作要求，规范商务和市场监管领域执法行为，我单位牵头起草了《兰州新区商务和市场监管领域行政执法“观察期”制度（试行）》（以下简称《制度》）。现就有关情况说明如下：</w:t>
      </w:r>
    </w:p>
    <w:p w14:paraId="31B55A30">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val="en-US" w:eastAsia="zh-CN"/>
        </w:rPr>
        <w:t>起草</w:t>
      </w:r>
      <w:r>
        <w:rPr>
          <w:rFonts w:hint="eastAsia" w:ascii="黑体" w:hAnsi="黑体" w:eastAsia="黑体" w:cs="黑体"/>
          <w:sz w:val="32"/>
          <w:szCs w:val="32"/>
        </w:rPr>
        <w:t>背景与必要性</w:t>
      </w:r>
    </w:p>
    <w:p w14:paraId="5FE77C38">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优化营商环境，充分发挥兰州新区引领示范、先行先试优势，不断完善轻微违法行为容错机制，创造更包容的法治化营商环境，助力兰州新区社会经济高质量发展，根据《中华人民共和国行政处罚法》《甘肃省优化营商环境条例》等法律法规文件规定，结合新区商务和市场监管工作实际，在总结执法实践成果基础上，我局起草了《兰州新区商务和市场监管领域行政执法“观察期”制度（试行）》（以下简称“该《制度》”）行政规范性文件，并配套制定了《兰州新区商务和</w:t>
      </w:r>
      <w:r>
        <w:rPr>
          <w:rFonts w:hint="eastAsia" w:ascii="仿宋_GB2312" w:hAnsi="仿宋_GB2312" w:eastAsia="仿宋_GB2312" w:cs="仿宋_GB2312"/>
          <w:sz w:val="32"/>
          <w:szCs w:val="32"/>
        </w:rPr>
        <w:t>市场监督管理局执法观察期责令改正通知书</w:t>
      </w:r>
      <w:r>
        <w:rPr>
          <w:rFonts w:hint="eastAsia" w:ascii="仿宋_GB2312" w:hAnsi="仿宋_GB2312" w:eastAsia="仿宋_GB2312" w:cs="仿宋_GB2312"/>
          <w:sz w:val="32"/>
          <w:szCs w:val="32"/>
          <w:lang w:val="en-US" w:eastAsia="zh-CN"/>
        </w:rPr>
        <w:t>》，明确行政执法机关实施行政执法“观察期”制度的条件与界限，倡导行政执法机关在法律框架内、在保障公共利益的前提下，综合考量违法事实、性质、情节、社会危害程度等因素，优先采用教育提醒、劝导示范、警示告诫、行政指导、行政约谈等柔性执法方式；对于依法可给予行政处罚的违法行为，当事人作出认错认罚、整改承诺后，给予一定期限的观察整改期，当事人在观察期内完成整改并经核查合格的，依法可不予行政处罚的制度，旨在深入推进服务型执法，引导当事人主动纠正违法行为，充分激发市场主体竞争活力，为优化全市法治化营商环境促进社会经济高质量发展提供了坚实保障。</w:t>
      </w:r>
    </w:p>
    <w:p w14:paraId="24845395">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二、制定依据</w:t>
      </w:r>
    </w:p>
    <w:p w14:paraId="603089B5">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《中华人民共和国行政处罚法》</w:t>
      </w:r>
    </w:p>
    <w:p w14:paraId="3FD9E8B7">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设定和实施行政处罚必须以事实为依据，与违法行为的事实、性质、情节以及社会危害程度相当。   </w:t>
      </w:r>
    </w:p>
    <w:p w14:paraId="103080FE">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对违法行为给予行政处罚的规定必须公布；未经公布的，不得作为行政处罚的依据。   </w:t>
      </w:r>
    </w:p>
    <w:p w14:paraId="14449D12">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实施行政处罚，纠正违法行为，应当坚持处罚与教育相结合，教育公民、法人或者其他组织自觉守法。 </w:t>
      </w:r>
    </w:p>
    <w:p w14:paraId="66C72A6D">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公民、法人或者其他组织对行政机关所给予的行政处罚，享有陈述权、申辩权；对行政处罚不服的，有权依法申请行政复议或者提起行政诉讼。</w:t>
      </w:r>
    </w:p>
    <w:p w14:paraId="4AAEA357">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当事人有证据足以证明没有主观过错的，不予行政处罚。法律、行政法规另有规定的，从其规定。   对当事人的违法行为依法不予行政处罚的，行政机关应当对当事人进行教育。</w:t>
      </w:r>
    </w:p>
    <w:p w14:paraId="557C7354">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）《甘肃省优化营商环境条例》</w:t>
      </w:r>
    </w:p>
    <w:p w14:paraId="3D1E80BD">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各级人民政府以及有关部门、单位应当结合实际，在法治框架内探索原创性、差异化的优化营商环境举措，并及时总结复制、宣传推广行之有效的经验做法，引导全社会共同参与营商环境建设。 </w:t>
      </w:r>
    </w:p>
    <w:p w14:paraId="4C8C6232">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兰州新区和各类经济技术开发区、高新技术开发区、工业园区等，应当发挥引领示范作用，先行先试优化营商环境的各项改革措施。 </w:t>
      </w:r>
    </w:p>
    <w:p w14:paraId="22F667A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在优化营商环境工作中，因推进改革、探索创新、推动发展、破解难题等出现的失误或者偏差，符合规定条件的，可以予以免责或者减轻责任。</w:t>
      </w:r>
    </w:p>
    <w:p w14:paraId="7C425A0B">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县级以上人民政府及其有关部门应当建立健全行政裁量权基准制度，依照法律法规和本省有关规定细化量化裁量标准，持续推进行政柔性执法和包容审慎监管。 </w:t>
      </w:r>
      <w:r>
        <w:rPr>
          <w:rFonts w:hint="eastAsia" w:ascii="仿宋_GB2312" w:hAnsi="仿宋_GB2312" w:eastAsia="仿宋_GB2312" w:cs="仿宋_GB2312"/>
          <w:sz w:val="32"/>
          <w:szCs w:val="32"/>
          <w:lang w:val="en-US" w:eastAsia="zh-CN"/>
        </w:rPr>
        <w:t xml:space="preserve">  </w:t>
      </w:r>
    </w:p>
    <w:p w14:paraId="10DC72C9">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对经营主体违法行为轻微并及时改正，没有造成危害后果的，不予行政处罚。初次违法且危害后果轻微并及时改正的，可以不予行政处罚。 </w:t>
      </w:r>
    </w:p>
    <w:p w14:paraId="037B8EDC">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县级以上人民政府司法行政部门应当加强涉企行政执法监督，推进严格规范公正文明执法。</w:t>
      </w:r>
    </w:p>
    <w:p w14:paraId="76FFC1EC">
      <w:pPr>
        <w:keepNext w:val="0"/>
        <w:keepLines w:val="0"/>
        <w:pageBreakBefore w:val="0"/>
        <w:widowControl/>
        <w:numPr>
          <w:ilvl w:val="0"/>
          <w:numId w:val="1"/>
        </w:numPr>
        <w:kinsoku/>
        <w:wordWrap/>
        <w:overflowPunct/>
        <w:topLinePunct w:val="0"/>
        <w:autoSpaceDE/>
        <w:autoSpaceDN/>
        <w:bidi w:val="0"/>
        <w:adjustRightInd/>
        <w:snapToGrid/>
        <w:spacing w:line="64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《中共中央国务院关于促进民营经济发展壮大的意见》</w:t>
      </w:r>
    </w:p>
    <w:p w14:paraId="4510615D">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第十三条 </w:t>
      </w:r>
      <w:bookmarkStart w:id="0" w:name="_GoBack"/>
      <w:bookmarkEnd w:id="0"/>
      <w:r>
        <w:rPr>
          <w:rFonts w:hint="eastAsia" w:ascii="仿宋_GB2312" w:hAnsi="仿宋_GB2312" w:eastAsia="仿宋_GB2312" w:cs="仿宋_GB2312"/>
          <w:sz w:val="32"/>
          <w:szCs w:val="32"/>
          <w:lang w:val="en-US" w:eastAsia="zh-CN"/>
        </w:rPr>
        <w:t>完善监管执法体系。加强监管标准化规范化建设，依法公开监管标准和规则，增强监管制度和政策的稳定性、可预期性。提高监管公平性、规范性、简约性，杜绝选择性执法和让企业“自证清白”式监管。鼓励跨行政区域按规定联合发布统一监管政策法规及标准规范，开展联动执法。按照教育与处罚相结合原则，推行告知、提醒、劝导等执法方式，对初次违法且危害后果轻微并及时改正的依法不予行政处罚。</w:t>
      </w:r>
    </w:p>
    <w:p w14:paraId="2B5A846A">
      <w:pPr>
        <w:keepNext w:val="0"/>
        <w:keepLines w:val="0"/>
        <w:pageBreakBefore w:val="0"/>
        <w:widowControl/>
        <w:numPr>
          <w:ilvl w:val="0"/>
          <w:numId w:val="1"/>
        </w:numPr>
        <w:kinsoku/>
        <w:wordWrap/>
        <w:overflowPunct/>
        <w:topLinePunct w:val="0"/>
        <w:autoSpaceDE/>
        <w:autoSpaceDN/>
        <w:bidi w:val="0"/>
        <w:adjustRightInd/>
        <w:snapToGrid/>
        <w:spacing w:line="64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甘肃省关于全面推行行政柔性执法进一步优化法治营商环境的指导意见</w:t>
      </w:r>
      <w:r>
        <w:rPr>
          <w:rFonts w:hint="eastAsia" w:ascii="楷体_GB2312" w:hAnsi="楷体_GB2312" w:eastAsia="楷体_GB2312" w:cs="楷体_GB2312"/>
          <w:sz w:val="32"/>
          <w:szCs w:val="32"/>
          <w:lang w:eastAsia="zh-CN"/>
        </w:rPr>
        <w:t>》</w:t>
      </w:r>
    </w:p>
    <w:p w14:paraId="3C2E5D8D">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探索实施“包容审慎”监管。各级行政机关要在法定权限、范围内给予行政相对人容错纠错的空间，可以依法不处罚、只纠正。对不触碰安全底线的新领域适当给予一定的“观察期”，对需要达标整改的给予必要的“过渡期”进行适度有效监管，通过单独或者综合运用非强制方式，促使行政相对人自觉守法、纠正行为，避免“积小错酿大祸”。</w:t>
      </w:r>
    </w:p>
    <w:p w14:paraId="3EC25EB0">
      <w:pPr>
        <w:keepNext w:val="0"/>
        <w:keepLines w:val="0"/>
        <w:pageBreakBefore w:val="0"/>
        <w:widowControl/>
        <w:numPr>
          <w:ilvl w:val="0"/>
          <w:numId w:val="1"/>
        </w:numPr>
        <w:kinsoku/>
        <w:wordWrap/>
        <w:overflowPunct/>
        <w:topLinePunct w:val="0"/>
        <w:autoSpaceDE/>
        <w:autoSpaceDN/>
        <w:bidi w:val="0"/>
        <w:adjustRightInd/>
        <w:snapToGrid/>
        <w:spacing w:line="64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市场监管总局、甘肃省市场监管局首违不罚、轻微免罚、减轻处罚相关清单及裁量规则</w:t>
      </w:r>
    </w:p>
    <w:p w14:paraId="04DBE1DF">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三、主要内容</w:t>
      </w:r>
    </w:p>
    <w:p w14:paraId="1AE17D7E">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《兰州新区商务和市场监管领域行政执法 “观察期” 制度（试行）》全文共二十条，对适用范围、核心定义、基本原则、适用条件、排除情形、认定标准、观察期限、办理程序、整改核查、案件处理、监督衔接、施行日期等作出全面规定。 </w:t>
      </w:r>
    </w:p>
    <w:p w14:paraId="495969BF">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明确适用范围与核心定义。适用于兰州新区商务和市场监管局及依法以本局名义执法的机构、派出机构办理的商务、市场监管领域行政违法案件；对符合条件的轻微违法行为，经认错认罚、承诺整改后给予观察整改期，整改合</w:t>
      </w:r>
      <w:r>
        <w:rPr>
          <w:rFonts w:hint="eastAsia" w:ascii="仿宋_GB2312" w:hAnsi="仿宋_GB2312" w:eastAsia="仿宋_GB2312" w:cs="仿宋_GB2312"/>
          <w:sz w:val="32"/>
          <w:szCs w:val="32"/>
          <w:lang w:eastAsia="zh-CN"/>
        </w:rPr>
        <w:t>格后</w:t>
      </w:r>
      <w:r>
        <w:rPr>
          <w:rFonts w:hint="eastAsia" w:ascii="仿宋_GB2312" w:hAnsi="仿宋_GB2312" w:eastAsia="仿宋_GB2312" w:cs="仿宋_GB2312"/>
          <w:sz w:val="32"/>
          <w:szCs w:val="32"/>
        </w:rPr>
        <w:t xml:space="preserve">依法可不予行政处罚。 </w:t>
      </w:r>
    </w:p>
    <w:p w14:paraId="3733BE41">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 xml:space="preserve">明确基本原则。确立合法合理、公平公正、自愿接受、鼓励创新、综合裁量五大原则，保障制度规范实施。 </w:t>
      </w:r>
    </w:p>
    <w:p w14:paraId="3898F9F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 xml:space="preserve">明确适用条件。违法行为在观察期适用清单范围内，同时满足事实清楚、配合调查、具备整改条件、自愿承诺、初次违法且违法行为与危害后果轻微等条件。 </w:t>
      </w:r>
    </w:p>
    <w:p w14:paraId="5683A1FF">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 xml:space="preserve">明确排除情形。列出触及安全底线、涉嫌犯罪、拒不整改、限期内再违法等十二类不适用情形，严守监管底线。 </w:t>
      </w:r>
    </w:p>
    <w:p w14:paraId="4C686CC4">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 xml:space="preserve">明确关键认定标准。对初次违法、违法行为轻微、危害后果轻微、主观过错较小作出量化界定，区分一般领域与食品、药械妆领域不同认定规则。 </w:t>
      </w:r>
    </w:p>
    <w:p w14:paraId="545A628B">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 xml:space="preserve">明确观察期限。一般不超过 30 个自然日，特殊情况可延长，最长不超过 60 个自然日，且不超过法定办案期限。 </w:t>
      </w:r>
    </w:p>
    <w:p w14:paraId="12D6F116">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七是</w:t>
      </w:r>
      <w:r>
        <w:rPr>
          <w:rFonts w:hint="eastAsia" w:ascii="仿宋_GB2312" w:hAnsi="仿宋_GB2312" w:eastAsia="仿宋_GB2312" w:cs="仿宋_GB2312"/>
          <w:sz w:val="32"/>
          <w:szCs w:val="32"/>
        </w:rPr>
        <w:t xml:space="preserve">明确办理程序。规范审查提出—审批签发—告知承诺—全程记录全流程，实行双分管领导联合签发，意见不一致可提请集体审议。 </w:t>
      </w:r>
    </w:p>
    <w:p w14:paraId="74C7DE31">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八是</w:t>
      </w:r>
      <w:r>
        <w:rPr>
          <w:rFonts w:hint="eastAsia" w:ascii="仿宋_GB2312" w:hAnsi="仿宋_GB2312" w:eastAsia="仿宋_GB2312" w:cs="仿宋_GB2312"/>
          <w:sz w:val="32"/>
          <w:szCs w:val="32"/>
        </w:rPr>
        <w:t xml:space="preserve">明确整改核查要求。当事人按期提交整改材料，执法部门 5 个工作日内开展现场核查，可邀请业务科室、司法及检察机关参与。 </w:t>
      </w:r>
    </w:p>
    <w:p w14:paraId="1EFBF6C0">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九是</w:t>
      </w:r>
      <w:r>
        <w:rPr>
          <w:rFonts w:hint="eastAsia" w:ascii="仿宋_GB2312" w:hAnsi="仿宋_GB2312" w:eastAsia="仿宋_GB2312" w:cs="仿宋_GB2312"/>
          <w:sz w:val="32"/>
          <w:szCs w:val="32"/>
        </w:rPr>
        <w:t xml:space="preserve">明确案件处理结果。整改合格且无新违法，依法不予处罚；存在未整改、整改不合格、再违法等情形，立即终止观察并依法处罚。 </w:t>
      </w:r>
    </w:p>
    <w:p w14:paraId="669A1907">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十是</w:t>
      </w:r>
      <w:r>
        <w:rPr>
          <w:rFonts w:hint="eastAsia" w:ascii="仿宋_GB2312" w:hAnsi="仿宋_GB2312" w:eastAsia="仿宋_GB2312" w:cs="仿宋_GB2312"/>
          <w:sz w:val="32"/>
          <w:szCs w:val="32"/>
        </w:rPr>
        <w:t xml:space="preserve">明确监督与衔接。不予处罚案件须经法制审核与集体讨论，强化部门协作与司法监督；做好与“两轻一免”等清单的衔接适用。 </w:t>
      </w:r>
    </w:p>
    <w:p w14:paraId="135F473C">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十一是</w:t>
      </w:r>
      <w:r>
        <w:rPr>
          <w:rFonts w:hint="eastAsia" w:ascii="仿宋_GB2312" w:hAnsi="仿宋_GB2312" w:eastAsia="仿宋_GB2312" w:cs="仿宋_GB2312"/>
          <w:sz w:val="32"/>
          <w:szCs w:val="32"/>
        </w:rPr>
        <w:t>明确施行与管理。统一文书规范，由三部门共同解释，自印发之日起施行，有效期2年。</w:t>
      </w:r>
    </w:p>
    <w:p w14:paraId="2DB6E581">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、实施意义</w:t>
      </w:r>
    </w:p>
    <w:p w14:paraId="54BDDDD9">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优化营商环境</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推行柔性执法、包容审慎监管，降低企业制度性成本，激发市场主体活力。</w:t>
      </w:r>
    </w:p>
    <w:p w14:paraId="6075C37E">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）提升执法温度。</w:t>
      </w:r>
      <w:r>
        <w:rPr>
          <w:rFonts w:hint="eastAsia" w:ascii="仿宋_GB2312" w:hAnsi="仿宋_GB2312" w:eastAsia="仿宋_GB2312" w:cs="仿宋_GB2312"/>
          <w:sz w:val="32"/>
          <w:szCs w:val="32"/>
        </w:rPr>
        <w:t>坚持教育与惩戒相结合，引导市场主体主动纠错、守法经营，实现执法效果与社会效果统一。</w:t>
      </w:r>
    </w:p>
    <w:p w14:paraId="316500B9">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）规范执法行为。</w:t>
      </w:r>
      <w:r>
        <w:rPr>
          <w:rFonts w:hint="eastAsia" w:ascii="仿宋_GB2312" w:hAnsi="仿宋_GB2312" w:eastAsia="仿宋_GB2312" w:cs="仿宋_GB2312"/>
          <w:sz w:val="32"/>
          <w:szCs w:val="32"/>
        </w:rPr>
        <w:t>统一适用标准与办理流程，强化法制审核与监督，提升执法规范化、法治化水平。</w:t>
      </w:r>
    </w:p>
    <w:p w14:paraId="2BF35E7E">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）服务发展大局。</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“四新经济”、中小微企业提供容错空间，助力兰州新区高质量发展与营商环境持续提升。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E20859-1033-47BC-B99C-BDC42922B7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420FF529-8AF2-438C-8989-482E0BF34410}"/>
  </w:font>
  <w:font w:name="仿宋_GB2312">
    <w:panose1 w:val="02010609030101010101"/>
    <w:charset w:val="86"/>
    <w:family w:val="auto"/>
    <w:pitch w:val="default"/>
    <w:sig w:usb0="00000001" w:usb1="080E0000" w:usb2="00000000" w:usb3="00000000" w:csb0="00040000" w:csb1="00000000"/>
    <w:embedRegular r:id="rId3" w:fontKey="{E5632A97-B674-48ED-B90A-DF376F63AE21}"/>
  </w:font>
  <w:font w:name="楷体_GB2312">
    <w:panose1 w:val="02010609030101010101"/>
    <w:charset w:val="86"/>
    <w:family w:val="auto"/>
    <w:pitch w:val="default"/>
    <w:sig w:usb0="00000001" w:usb1="080E0000" w:usb2="00000000" w:usb3="00000000" w:csb0="00040000" w:csb1="00000000"/>
    <w:embedRegular r:id="rId4" w:fontKey="{B20EA777-EDE1-4C52-8FDD-693A14210F6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3B3D16"/>
    <w:multiLevelType w:val="singleLevel"/>
    <w:tmpl w:val="0F3B3D1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3F0B68"/>
    <w:rsid w:val="03161A3B"/>
    <w:rsid w:val="278C6F0B"/>
    <w:rsid w:val="2AC74B8A"/>
    <w:rsid w:val="499F60FC"/>
    <w:rsid w:val="4AF601D7"/>
    <w:rsid w:val="606E70C0"/>
    <w:rsid w:val="633F0B68"/>
    <w:rsid w:val="703345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e816103d-ad01-49bb-b926-775147699300</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76FFC1EC</paraID>
      <start>1</start>
      <end>8</end>
      <status>ignored</status>
      <modifiedWord/>
      <trackRevisions>false</trackRevisions>
    </reviewItem>
    <reviewItem>
      <errorID>f8696755-bca2-4195-8b3c-4ae163356f96</errorID>
      <errorWord>"</errorWord>
      <group>L1_Format</group>
      <groupName>格式问题</groupName>
      <ability>L2_HalfPunc</ability>
      <abilityName>全半角检查</abilityName>
      <candidateList>
        <item>“</item>
      </candidateList>
      <explain>文本全半角错误。</explain>
      <paraID>4510615D</paraID>
      <start>85</start>
      <end>86</end>
      <status>modified</status>
      <modifiedWord>“</modifiedWord>
      <trackRevisions>false</trackRevisions>
    </reviewItem>
    <reviewItem>
      <errorID>f9484d99-bf8c-405b-956c-6c71039fbb9a</errorID>
      <errorWord>"</errorWord>
      <group>L1_Format</group>
      <groupName>格式问题</groupName>
      <ability>L2_HalfPunc</ability>
      <abilityName>全半角检查</abilityName>
      <candidateList>
        <item>”</item>
      </candidateList>
      <explain>文本全半角错误。</explain>
      <paraID>4510615D</paraID>
      <start>90</start>
      <end>91</end>
      <status>modified</status>
      <modifiedWord>”</modifiedWord>
      <trackRevisions>false</trackRevisions>
    </reviewItem>
    <reviewItem>
      <errorID>0596b965-60d2-412c-acbc-9be4626662f4</errorID>
      <errorWord>格</errorWord>
      <group>L1_Word</group>
      <groupName>字词问题</groupName>
      <ability>L2_Typo</ability>
      <abilityName>字词错误</abilityName>
      <candidateList>
        <item>格后</item>
      </candidateList>
      <explain/>
      <paraID>495969BF</paraID>
      <start>101</start>
      <end>103</end>
      <status>modified</status>
      <modifiedWord>格后</modifiedWord>
      <trackRevisions>false</trackRevisions>
    </reviewItem>
  </reviewItems>
  <config/>
</contractReview>
</file>

<file path=customXml/itemProps1.xml><?xml version="1.0" encoding="utf-8"?>
<ds:datastoreItem xmlns:ds="http://schemas.openxmlformats.org/officeDocument/2006/customXml" ds:itemID="{781d3778-f3c6-4dbb-a022-6e68118f3ac8}">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2785</Words>
  <Characters>2790</Characters>
  <Lines>0</Lines>
  <Paragraphs>0</Paragraphs>
  <TotalTime>3</TotalTime>
  <ScaleCrop>false</ScaleCrop>
  <LinksUpToDate>false</LinksUpToDate>
  <CharactersWithSpaces>2822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2026-04-29T08:11:00Z</dcterms:created>
  <dc:creator>派大星的海绵宝宝</dc:creator>
  <cp:lastModifiedBy>派大星的海绵宝宝</cp:lastModifiedBy>
  <dcterms:modified xsi:type="dcterms:W3CDTF">2026-04-30T00:49:09Z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E6647E26625746A58FFFE0A190425D67_11</vt:lpwstr>
  </property>
  <property fmtid="{D5CDD505-2E9C-101B-9397-08002B2CF9AE}" pid="4" name="KSOTemplateDocerSaveRecord">
    <vt:lpwstr>eyJoZGlkIjoiN2Q3ZjMwNGIyZWRmM2I3MjNjMmQ0ZWM2ZTNmMDA2YWQiLCJ1c2VySWQiOiIzMTA4NDI5NzEifQ==</vt:lpwstr>
  </property>
</Properties>
</file>