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D6E49">
      <w:pPr>
        <w:rPr>
          <w:rFonts w:hint="eastAsia" w:ascii="仿宋_GB2312" w:hAnsi="仿宋_GB2312" w:eastAsia="仿宋_GB2312" w:cs="仿宋_GB2312"/>
          <w:sz w:val="32"/>
          <w:szCs w:val="32"/>
        </w:rPr>
      </w:pPr>
    </w:p>
    <w:p w14:paraId="619B9BA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兰州新区商务和市场监管领域行政执法</w:t>
      </w:r>
    </w:p>
    <w:p w14:paraId="36B5437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“观察期”制度（试行）</w:t>
      </w:r>
    </w:p>
    <w:p w14:paraId="0F4C49B1">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黑体" w:hAnsi="黑体" w:eastAsia="黑体" w:cs="黑体"/>
          <w:sz w:val="32"/>
          <w:szCs w:val="32"/>
          <w:lang w:val="en-US" w:eastAsia="zh-CN"/>
        </w:rPr>
      </w:pPr>
    </w:p>
    <w:p w14:paraId="6E24A74C">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第一条 </w:t>
      </w:r>
      <w:r>
        <w:rPr>
          <w:rFonts w:hint="eastAsia" w:ascii="黑体" w:hAnsi="黑体" w:eastAsia="黑体" w:cs="黑体"/>
          <w:sz w:val="32"/>
          <w:szCs w:val="32"/>
        </w:rPr>
        <w:t>制定目的和依据</w:t>
      </w:r>
    </w:p>
    <w:p w14:paraId="12C27B5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为持续</w:t>
      </w:r>
      <w:r>
        <w:rPr>
          <w:rFonts w:hint="eastAsia" w:ascii="仿宋_GB2312" w:hAnsi="仿宋_GB2312" w:eastAsia="仿宋_GB2312" w:cs="仿宋_GB2312"/>
          <w:sz w:val="32"/>
          <w:szCs w:val="32"/>
          <w:lang w:eastAsia="zh-CN"/>
        </w:rPr>
        <w:t>推进</w:t>
      </w:r>
      <w:r>
        <w:rPr>
          <w:rFonts w:hint="eastAsia" w:ascii="仿宋_GB2312" w:hAnsi="仿宋_GB2312" w:eastAsia="仿宋_GB2312" w:cs="仿宋_GB2312"/>
          <w:sz w:val="32"/>
          <w:szCs w:val="32"/>
        </w:rPr>
        <w:t>柔性执法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优化法治化营商环境，深化服务型行政执法建设，引导市场主体主动纠正违法行为、自觉守法经营，依据《中华人民共和国行政处罚法》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甘肃省优化营商环境条例</w:t>
      </w:r>
      <w:r>
        <w:rPr>
          <w:rFonts w:hint="eastAsia" w:ascii="仿宋_GB2312" w:hAnsi="仿宋_GB2312" w:eastAsia="仿宋_GB2312" w:cs="仿宋_GB2312"/>
          <w:sz w:val="32"/>
          <w:szCs w:val="32"/>
          <w:lang w:eastAsia="zh-CN"/>
        </w:rPr>
        <w:t>》《中共中央国务院关于促进民营经济发展壮大的意见》</w:t>
      </w:r>
      <w:r>
        <w:rPr>
          <w:rFonts w:hint="eastAsia" w:ascii="仿宋_GB2312" w:hAnsi="仿宋_GB2312" w:eastAsia="仿宋_GB2312" w:cs="仿宋_GB2312"/>
          <w:sz w:val="32"/>
          <w:szCs w:val="32"/>
        </w:rPr>
        <w:t>《甘肃省关于全面推行行政柔性执法进一步优化法治营商环境的指导意见》等法律法规及政策文件，结合兰州新区商务和市场监管工作实际，制定本制度。</w:t>
      </w:r>
    </w:p>
    <w:p w14:paraId="65FA656A">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第二条 适用范围</w:t>
      </w:r>
    </w:p>
    <w:p w14:paraId="0426A28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兰州新区商务和市场监督管理局（含依法以本局名义实施行政处罚的机构、派出机构）在商务、市场监管领域办理行政违法案件，适用本制度。</w:t>
      </w:r>
    </w:p>
    <w:p w14:paraId="5D8D0215">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第三条 核心定义</w:t>
      </w:r>
    </w:p>
    <w:p w14:paraId="16DCA985">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本制度所称行政执法“观察期”，是指除</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、规章明确禁止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或者涉及危害公共安全、人民群众生命健康等情形外，</w:t>
      </w:r>
      <w:r>
        <w:rPr>
          <w:rFonts w:hint="eastAsia" w:ascii="仿宋_GB2312" w:hAnsi="仿宋_GB2312" w:eastAsia="仿宋_GB2312" w:cs="仿宋_GB2312"/>
          <w:sz w:val="32"/>
          <w:szCs w:val="32"/>
          <w:lang w:eastAsia="zh-CN"/>
        </w:rPr>
        <w:t>对于</w:t>
      </w:r>
      <w:r>
        <w:rPr>
          <w:rFonts w:hint="eastAsia" w:ascii="仿宋_GB2312" w:hAnsi="仿宋_GB2312" w:eastAsia="仿宋_GB2312" w:cs="仿宋_GB2312"/>
          <w:sz w:val="32"/>
          <w:szCs w:val="32"/>
        </w:rPr>
        <w:t>当事人违反商务、市场监管法律法规规章的行为，综合考量违法事实、性质、情节、社会危害程度等因素，优先</w:t>
      </w:r>
      <w:r>
        <w:rPr>
          <w:rFonts w:hint="eastAsia" w:ascii="仿宋_GB2312" w:hAnsi="仿宋_GB2312" w:eastAsia="仿宋_GB2312" w:cs="仿宋_GB2312"/>
          <w:sz w:val="32"/>
          <w:szCs w:val="32"/>
          <w:lang w:eastAsia="zh-CN"/>
        </w:rPr>
        <w:t>采用</w:t>
      </w:r>
      <w:r>
        <w:rPr>
          <w:rFonts w:hint="eastAsia" w:ascii="仿宋_GB2312" w:hAnsi="仿宋_GB2312" w:eastAsia="仿宋_GB2312" w:cs="仿宋_GB2312"/>
          <w:sz w:val="32"/>
          <w:szCs w:val="32"/>
        </w:rPr>
        <w:t>教育提醒、劝导示范、警示告诫、行政指导、行政约谈等柔性执法方式；</w:t>
      </w:r>
      <w:r>
        <w:rPr>
          <w:rFonts w:hint="eastAsia" w:ascii="仿宋_GB2312" w:hAnsi="仿宋_GB2312" w:eastAsia="仿宋_GB2312" w:cs="仿宋_GB2312"/>
          <w:sz w:val="32"/>
          <w:szCs w:val="32"/>
          <w:lang w:eastAsia="zh-CN"/>
        </w:rPr>
        <w:t>对于</w:t>
      </w:r>
      <w:r>
        <w:rPr>
          <w:rFonts w:hint="eastAsia" w:ascii="仿宋_GB2312" w:hAnsi="仿宋_GB2312" w:eastAsia="仿宋_GB2312" w:cs="仿宋_GB2312"/>
          <w:sz w:val="32"/>
          <w:szCs w:val="32"/>
        </w:rPr>
        <w:t>依法可</w:t>
      </w:r>
      <w:r>
        <w:rPr>
          <w:rFonts w:hint="eastAsia" w:ascii="仿宋_GB2312" w:hAnsi="仿宋_GB2312" w:eastAsia="仿宋_GB2312" w:cs="仿宋_GB2312"/>
          <w:sz w:val="32"/>
          <w:szCs w:val="32"/>
          <w:lang w:eastAsia="zh-CN"/>
        </w:rPr>
        <w:t>给予</w:t>
      </w:r>
      <w:r>
        <w:rPr>
          <w:rFonts w:hint="eastAsia" w:ascii="仿宋_GB2312" w:hAnsi="仿宋_GB2312" w:eastAsia="仿宋_GB2312" w:cs="仿宋_GB2312"/>
          <w:sz w:val="32"/>
          <w:szCs w:val="32"/>
        </w:rPr>
        <w:t>行政处罚的违法行为，当事人作出认错认罚、整改承诺后，给予一定期限的观察整改期，当事人在观察期内完成整改</w:t>
      </w:r>
      <w:r>
        <w:rPr>
          <w:rFonts w:hint="eastAsia" w:ascii="仿宋_GB2312" w:hAnsi="仿宋_GB2312" w:eastAsia="仿宋_GB2312" w:cs="仿宋_GB2312"/>
          <w:sz w:val="32"/>
          <w:szCs w:val="32"/>
          <w:lang w:eastAsia="zh-CN"/>
        </w:rPr>
        <w:t>并经</w:t>
      </w:r>
      <w:r>
        <w:rPr>
          <w:rFonts w:hint="eastAsia" w:ascii="仿宋_GB2312" w:hAnsi="仿宋_GB2312" w:eastAsia="仿宋_GB2312" w:cs="仿宋_GB2312"/>
          <w:sz w:val="32"/>
          <w:szCs w:val="32"/>
        </w:rPr>
        <w:t>核查合格的，依法可不予行政处罚的制度。</w:t>
      </w:r>
    </w:p>
    <w:p w14:paraId="4843D626">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第四条 基本原则</w:t>
      </w:r>
    </w:p>
    <w:p w14:paraId="78001780">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（一）合法合理原则。</w:t>
      </w:r>
      <w:r>
        <w:rPr>
          <w:rFonts w:hint="eastAsia" w:ascii="仿宋_GB2312" w:hAnsi="仿宋_GB2312" w:eastAsia="仿宋_GB2312" w:cs="仿宋_GB2312"/>
          <w:sz w:val="32"/>
          <w:szCs w:val="32"/>
        </w:rPr>
        <w:t>严格在法定职权范围内实施，不越权、不违法，与国家政策、上位规定保持一致。</w:t>
      </w:r>
    </w:p>
    <w:p w14:paraId="4169321B">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（二）公平公正原则。</w:t>
      </w:r>
      <w:r>
        <w:rPr>
          <w:rFonts w:hint="eastAsia" w:ascii="仿宋_GB2312" w:hAnsi="仿宋_GB2312" w:eastAsia="仿宋_GB2312" w:cs="仿宋_GB2312"/>
          <w:sz w:val="32"/>
          <w:szCs w:val="32"/>
        </w:rPr>
        <w:t>对各类市场主体一视同仁、平等对待，不歧视、不偏袒。</w:t>
      </w:r>
    </w:p>
    <w:p w14:paraId="0916F28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（三）自愿接受原则。</w:t>
      </w:r>
      <w:r>
        <w:rPr>
          <w:rFonts w:hint="eastAsia" w:ascii="仿宋_GB2312" w:hAnsi="仿宋_GB2312" w:eastAsia="仿宋_GB2312" w:cs="仿宋_GB2312"/>
          <w:sz w:val="32"/>
          <w:szCs w:val="32"/>
        </w:rPr>
        <w:t>充分尊重涉案市场主体意见，由涉案市场主体自行决定是否适用执法“观察期”制度，不得采取或者变相采取强制性手段以及其他不利于涉案市场主体的手段强迫其接受。</w:t>
      </w:r>
    </w:p>
    <w:p w14:paraId="570650D4">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（四）鼓励创新原则。</w:t>
      </w:r>
      <w:r>
        <w:rPr>
          <w:rFonts w:hint="eastAsia" w:ascii="仿宋_GB2312" w:hAnsi="仿宋_GB2312" w:eastAsia="仿宋_GB2312" w:cs="仿宋_GB2312"/>
          <w:sz w:val="32"/>
          <w:szCs w:val="32"/>
        </w:rPr>
        <w:t>深入落实国家和省</w:t>
      </w:r>
      <w:r>
        <w:rPr>
          <w:rFonts w:hint="eastAsia" w:ascii="仿宋_GB2312" w:hAnsi="仿宋_GB2312" w:eastAsia="仿宋_GB2312" w:cs="仿宋_GB2312"/>
          <w:sz w:val="32"/>
          <w:szCs w:val="32"/>
          <w:lang w:val="en-US" w:eastAsia="zh-CN"/>
        </w:rPr>
        <w:t>上</w:t>
      </w:r>
      <w:r>
        <w:rPr>
          <w:rFonts w:hint="eastAsia" w:ascii="仿宋_GB2312" w:hAnsi="仿宋_GB2312" w:eastAsia="仿宋_GB2312" w:cs="仿宋_GB2312"/>
          <w:sz w:val="32"/>
          <w:szCs w:val="32"/>
        </w:rPr>
        <w:t>对“四新经济”实行包容审慎监管的要求，通过转变执法理念，创新监管方式，推行一系列包容审慎监管举措，为新技术、新产业、新业态、新模式等“四新经济”留足发展空间。</w:t>
      </w:r>
    </w:p>
    <w:p w14:paraId="4F46EE6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（五）综合裁量原则。</w:t>
      </w:r>
      <w:r>
        <w:rPr>
          <w:rFonts w:hint="eastAsia" w:ascii="仿宋_GB2312" w:hAnsi="仿宋_GB2312" w:eastAsia="仿宋_GB2312" w:cs="仿宋_GB2312"/>
          <w:sz w:val="32"/>
          <w:szCs w:val="32"/>
        </w:rPr>
        <w:t>综合考虑个案情况，兼顾地区经济社会发展状况、当事人主客观情况等相关因素，实现政治效果、社会效果、法律效果的统一。</w:t>
      </w:r>
    </w:p>
    <w:p w14:paraId="625BE714">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第五条 适用条件</w:t>
      </w:r>
    </w:p>
    <w:p w14:paraId="44F0487C">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当事人违法行为属于本局公布的执法“观察期”适用清单范围，且同时符合以下条件的，经综合裁量可适用观察期：</w:t>
      </w:r>
    </w:p>
    <w:p w14:paraId="22A9602F">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（一）案件</w:t>
      </w:r>
      <w:r>
        <w:rPr>
          <w:rFonts w:hint="eastAsia" w:ascii="仿宋_GB2312" w:hAnsi="仿宋_GB2312" w:eastAsia="仿宋_GB2312" w:cs="仿宋_GB2312"/>
          <w:sz w:val="32"/>
          <w:szCs w:val="32"/>
          <w:lang w:eastAsia="zh-CN"/>
        </w:rPr>
        <w:t>事实清晰</w:t>
      </w:r>
      <w:r>
        <w:rPr>
          <w:rFonts w:hint="eastAsia" w:ascii="仿宋_GB2312" w:hAnsi="仿宋_GB2312" w:eastAsia="仿宋_GB2312" w:cs="仿宋_GB2312"/>
          <w:sz w:val="32"/>
          <w:szCs w:val="32"/>
        </w:rPr>
        <w:t>、证据充分、法律适用明确；</w:t>
      </w:r>
    </w:p>
    <w:p w14:paraId="24CA1E88">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（二）当事人积极配合调查、主动陈述违法事实；</w:t>
      </w:r>
    </w:p>
    <w:p w14:paraId="3B1ED086">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（三）当事人能够正常生产经营，承诺建立或完善合规制度，具备整改条件；</w:t>
      </w:r>
    </w:p>
    <w:p w14:paraId="4040EC9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（四）当事人自愿适用本制度、签署认错认罚及整改承诺书；</w:t>
      </w:r>
    </w:p>
    <w:p w14:paraId="01649396">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（五）属于初次违法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违法行为轻微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危害后果轻微。</w:t>
      </w:r>
    </w:p>
    <w:p w14:paraId="2DE6F5E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第六条 排除情形</w:t>
      </w:r>
    </w:p>
    <w:p w14:paraId="0F7C967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当事人有下列情形之一的，不适用观察期制度：</w:t>
      </w:r>
    </w:p>
    <w:p w14:paraId="02E1E71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市场监管领域具有较大社会影响，触及安全底线、危害人民群众生命财产安全的重大违法行为；</w:t>
      </w:r>
    </w:p>
    <w:p w14:paraId="0317DAC8">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（二）具有区域性、系统性风险，或造成突发事件的违法行为；</w:t>
      </w:r>
    </w:p>
    <w:p w14:paraId="53E9527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（三）违法行为涉嫌犯罪，应当移送司法机关的；</w:t>
      </w:r>
    </w:p>
    <w:p w14:paraId="0987FA01">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（四）拒绝、阻挠监督检查，或在检查中弄虚作假的；</w:t>
      </w:r>
    </w:p>
    <w:p w14:paraId="68E004A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（五）擅自转移、隐匿、损毁、变卖被查封、扣押财物，或擅自撕毁封条的；</w:t>
      </w:r>
    </w:p>
    <w:p w14:paraId="5BA4EA21">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（六）经责令改正，拒不整改或复查发现违法行为仍持续的；</w:t>
      </w:r>
    </w:p>
    <w:p w14:paraId="3D294C75">
      <w:pPr>
        <w:keepNext w:val="0"/>
        <w:keepLines w:val="0"/>
        <w:pageBreakBefore w:val="0"/>
        <w:widowControl/>
        <w:numPr>
          <w:ilvl w:val="0"/>
          <w:numId w:val="1"/>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2年内（药品、化妆品、医疗器械领域为5年内）已适用过减免责清单、首违不罚或观察期制度，再次发生同类违法行为的；</w:t>
      </w:r>
    </w:p>
    <w:p w14:paraId="6A38D28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两年内被查实的</w:t>
      </w:r>
      <w:r>
        <w:rPr>
          <w:rFonts w:hint="eastAsia" w:ascii="仿宋_GB2312" w:hAnsi="仿宋_GB2312" w:eastAsia="仿宋_GB2312" w:cs="仿宋_GB2312"/>
          <w:sz w:val="32"/>
          <w:szCs w:val="32"/>
          <w:lang w:eastAsia="zh-CN"/>
        </w:rPr>
        <w:t>有效举报投诉</w:t>
      </w:r>
      <w:r>
        <w:rPr>
          <w:rFonts w:hint="eastAsia" w:ascii="仿宋_GB2312" w:hAnsi="仿宋_GB2312" w:eastAsia="仿宋_GB2312" w:cs="仿宋_GB2312"/>
          <w:sz w:val="32"/>
          <w:szCs w:val="32"/>
          <w:lang w:val="en-US" w:eastAsia="zh-CN"/>
        </w:rPr>
        <w:t>3次以上（含本数）、引发群体性事件的；</w:t>
      </w:r>
    </w:p>
    <w:p w14:paraId="2CB7160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）药品、化妆品、医疗器械领域违法行为持续六个月以上；</w:t>
      </w:r>
    </w:p>
    <w:p w14:paraId="4147743D">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经安全检查发现企业的违法行为存在重大事故隐患，且有相关</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、规章处罚依据的；</w:t>
      </w:r>
    </w:p>
    <w:p w14:paraId="1C76CFA5">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发生在重大传染病疫情等突发事件期间，违反突发事件应对措施的；</w:t>
      </w:r>
    </w:p>
    <w:p w14:paraId="7AA7A85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、规章明确禁止适用，或危害公共安全、侵害群众生命健康、造成严重后果的。</w:t>
      </w:r>
    </w:p>
    <w:p w14:paraId="0B93905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办法所称重大违法行为是指涉嫌犯罪或者依法将被处以暂扣许可证件、降低资质等级、吊销许可证件、责令停产停业、责令关闭、限制从业、较大数额罚没款等行政处罚的违法行为。较大数额罚没款金额依据《市场监督管理行政处罚听证办法》确定，涉及多个违法行为的，以罚款最高或罚没合计金额最大的违法行为判定。</w:t>
      </w:r>
    </w:p>
    <w:p w14:paraId="27B915C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同一类型指当事人的前违法行为与后违法行为所适用的法律，法规、规章等属于同一条款项。</w:t>
      </w:r>
    </w:p>
    <w:p w14:paraId="3AAE7D09">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第七条 初次违法  </w:t>
      </w:r>
    </w:p>
    <w:p w14:paraId="59272F0A">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初次违法，</w:t>
      </w:r>
      <w:r>
        <w:rPr>
          <w:rFonts w:hint="eastAsia" w:ascii="仿宋_GB2312" w:hAnsi="仿宋_GB2312" w:eastAsia="仿宋_GB2312" w:cs="仿宋_GB2312"/>
          <w:sz w:val="32"/>
          <w:szCs w:val="32"/>
          <w:lang w:val="en-US" w:eastAsia="zh-CN"/>
        </w:rPr>
        <w:t>是指一定期限内同一领域或者同一领域中同一类违法行为范围内，当事人第一次有该违法行为。有关部门和地方应当根据实际情况，合理确定一定期限和领域范围。（《中华人民共和国行政处罚法释义》）</w:t>
      </w:r>
    </w:p>
    <w:p w14:paraId="0CD149AC">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定初次违法，应当通过查阅行政执法案卷记录，查询国家企业信用信息公示系统、甘肃省互联网+监管系统等方式，确定当事人是否在两年的周期内，在广告、登记注册、知识产权、计量等法律法规规定的同一监管领域，第一次发生违法行为。两年内是指上一个违法行为作出处理决定之日 至下一个违法行为发生之日未超过两个自然年的周期。涉及国家利益、社会公共利益，以及对他人合法权益造成明显的损害或不良影响的，上述周期为五年。甘肃省市场监督管理局、甘肃省司法厅《甘肃省市场监管首违不罚、轻微免罚清单(2025版)》《甘肃省市场监管减轻行政处罚清单(2025版)》</w:t>
      </w:r>
    </w:p>
    <w:p w14:paraId="0BDE083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食品领域初次违法</w:t>
      </w:r>
      <w:r>
        <w:rPr>
          <w:rFonts w:hint="eastAsia" w:ascii="仿宋_GB2312" w:hAnsi="仿宋_GB2312" w:eastAsia="仿宋_GB2312" w:cs="仿宋_GB2312"/>
          <w:sz w:val="32"/>
          <w:szCs w:val="32"/>
          <w:lang w:val="en-US" w:eastAsia="zh-CN"/>
        </w:rPr>
        <w:t>，是指生产经营主体第一次违反食品安全法律法规、规章等规定，依法被判定为违法行为的情况。同一生产经营主体两年内未发生同类违法行为的，视为初次违法。(《市场监管总局关于印发市场监管行政违法行为首违不罚、轻微免罚清单（一）的通知》)</w:t>
      </w:r>
    </w:p>
    <w:p w14:paraId="1FF28EF4">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药品、医疗器械、化妆品领域初次违法</w:t>
      </w:r>
      <w:r>
        <w:rPr>
          <w:rFonts w:hint="eastAsia" w:ascii="仿宋_GB2312" w:hAnsi="仿宋_GB2312" w:eastAsia="仿宋_GB2312" w:cs="仿宋_GB2312"/>
          <w:sz w:val="32"/>
          <w:szCs w:val="32"/>
          <w:lang w:val="en-US" w:eastAsia="zh-CN"/>
        </w:rPr>
        <w:t>，是指当事人五年内在其全部生产经营地域范围内第一次实施同一性质违法行为。但当事人被处以五年以上职业禁止罚的除外。经询问当事人，并查询行政处罚案件信息等方式，未发现当事人五年内有同一性质违法行为的，可以认定为初次违法。（《药品监督管理行政处罚裁量适用规则》）</w:t>
      </w:r>
    </w:p>
    <w:p w14:paraId="4C9EC1A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第八条 违法行为轻微 </w:t>
      </w:r>
    </w:p>
    <w:p w14:paraId="6FACE2B0">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违法行为轻微</w:t>
      </w:r>
      <w:r>
        <w:rPr>
          <w:rFonts w:hint="eastAsia" w:ascii="仿宋_GB2312" w:hAnsi="仿宋_GB2312" w:eastAsia="仿宋_GB2312" w:cs="仿宋_GB2312"/>
          <w:sz w:val="32"/>
          <w:szCs w:val="32"/>
          <w:lang w:val="en-US" w:eastAsia="zh-CN"/>
        </w:rPr>
        <w:t>，可以结合主观过错较小，不存在恶意逃避法律责任、故意侵犯他人权益或谋取不正当利益的主观动机，违法手段比较简单、违法行为持续时间较短，违法状态或危害后果易于纠正或消除，无违法所得或者违法所得较少、货值金额（涉案金额）较小，涉案产品或者提供的服务符合有关标准等因素综合判断。　　</w:t>
      </w:r>
    </w:p>
    <w:p w14:paraId="7910EB5B">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前款货值金额（涉案金额）较小</w:t>
      </w:r>
      <w:r>
        <w:rPr>
          <w:rFonts w:hint="eastAsia" w:ascii="仿宋_GB2312" w:hAnsi="仿宋_GB2312" w:eastAsia="仿宋_GB2312" w:cs="仿宋_GB2312"/>
          <w:sz w:val="32"/>
          <w:szCs w:val="32"/>
          <w:lang w:val="en-US" w:eastAsia="zh-CN"/>
        </w:rPr>
        <w:t>，指法人或其他组织一般不超过3000元（含本数），自然人（个体工商户）一般不超过500元（含本数）。</w:t>
      </w:r>
    </w:p>
    <w:p w14:paraId="52899BF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违法所得较少，</w:t>
      </w:r>
      <w:r>
        <w:rPr>
          <w:rFonts w:hint="eastAsia" w:ascii="仿宋_GB2312" w:hAnsi="仿宋_GB2312" w:eastAsia="仿宋_GB2312" w:cs="仿宋_GB2312"/>
          <w:sz w:val="32"/>
          <w:szCs w:val="32"/>
          <w:lang w:val="en-US" w:eastAsia="zh-CN"/>
        </w:rPr>
        <w:t>指法人或其他组织一般不超过1000元（含本数），自然人（个体工商户）一般不超过200元（含本数）。</w:t>
      </w:r>
    </w:p>
    <w:p w14:paraId="29F0BFB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违法行为持续时间较短，</w:t>
      </w:r>
      <w:r>
        <w:rPr>
          <w:rFonts w:hint="eastAsia" w:ascii="仿宋_GB2312" w:hAnsi="仿宋_GB2312" w:eastAsia="仿宋_GB2312" w:cs="仿宋_GB2312"/>
          <w:sz w:val="32"/>
          <w:szCs w:val="32"/>
          <w:lang w:val="en-US" w:eastAsia="zh-CN"/>
        </w:rPr>
        <w:t>可根据违法行为造成的社会影响、违法行为性质等，在15日、30日等时限内综合判定，一般最长不超过60日。</w:t>
      </w:r>
    </w:p>
    <w:p w14:paraId="009A6BB1">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上述</w:t>
      </w:r>
      <w:r>
        <w:rPr>
          <w:rFonts w:hint="eastAsia" w:ascii="仿宋_GB2312" w:hAnsi="仿宋_GB2312" w:eastAsia="仿宋_GB2312" w:cs="仿宋_GB2312"/>
          <w:sz w:val="32"/>
          <w:szCs w:val="32"/>
          <w:lang w:val="en-US" w:eastAsia="zh-CN"/>
        </w:rPr>
        <w:t>违法行为轻微</w:t>
      </w:r>
      <w:r>
        <w:rPr>
          <w:rFonts w:hint="default" w:ascii="仿宋_GB2312" w:hAnsi="仿宋_GB2312" w:eastAsia="仿宋_GB2312" w:cs="仿宋_GB2312"/>
          <w:sz w:val="32"/>
          <w:szCs w:val="32"/>
          <w:lang w:val="en-US" w:eastAsia="zh-CN"/>
        </w:rPr>
        <w:t>界定，其他违法行为可参考适用</w:t>
      </w:r>
      <w:r>
        <w:rPr>
          <w:rFonts w:hint="eastAsia" w:ascii="仿宋_GB2312" w:hAnsi="仿宋_GB2312" w:eastAsia="仿宋_GB2312" w:cs="仿宋_GB2312"/>
          <w:sz w:val="32"/>
          <w:szCs w:val="32"/>
          <w:lang w:val="en-US" w:eastAsia="zh-CN"/>
        </w:rPr>
        <w:t>。食品领域的有关认定按照《国家市场监管总局市场监管行政违法行为首违不罚、轻微免罚清单（一）》，药品、医疗器械、化妆品的有关认定按照《药品监督管理行政处罚裁量适用规则》执行。</w:t>
      </w:r>
    </w:p>
    <w:p w14:paraId="2FD4D24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第九条 危害后果轻微  </w:t>
      </w:r>
    </w:p>
    <w:p w14:paraId="11872DF2">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危害后果轻微，</w:t>
      </w:r>
      <w:r>
        <w:rPr>
          <w:rFonts w:hint="eastAsia" w:ascii="仿宋_GB2312" w:hAnsi="仿宋_GB2312" w:eastAsia="仿宋_GB2312" w:cs="仿宋_GB2312"/>
          <w:sz w:val="32"/>
          <w:szCs w:val="32"/>
          <w:lang w:val="en-US" w:eastAsia="zh-CN"/>
        </w:rPr>
        <w:t>可以结合对市场秩序的扰乱程度轻微，对消费者欺骗误导作用小，货值金额（涉案金额）较小，违法所得较少，案涉产品安全风险较小，危害范围较小，未造成明显社会影响，危害后果易于消除或者减轻，主动消除或者减轻违法行为危害后果或主动与被侵害对象达成和解等因素综合判断。　　</w:t>
      </w:r>
    </w:p>
    <w:p w14:paraId="284824FE">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default" w:ascii="仿宋_GB2312" w:hAnsi="仿宋_GB2312" w:eastAsia="仿宋_GB2312" w:cs="仿宋_GB2312"/>
          <w:sz w:val="32"/>
          <w:szCs w:val="32"/>
          <w:lang w:val="en-US" w:eastAsia="zh-CN"/>
        </w:rPr>
        <w:t>上述</w:t>
      </w:r>
      <w:r>
        <w:rPr>
          <w:rFonts w:hint="eastAsia" w:ascii="仿宋_GB2312" w:hAnsi="仿宋_GB2312" w:eastAsia="仿宋_GB2312" w:cs="仿宋_GB2312"/>
          <w:sz w:val="32"/>
          <w:szCs w:val="32"/>
          <w:lang w:val="en-US" w:eastAsia="zh-CN"/>
        </w:rPr>
        <w:t>危害后果轻微</w:t>
      </w:r>
      <w:r>
        <w:rPr>
          <w:rFonts w:hint="default" w:ascii="仿宋_GB2312" w:hAnsi="仿宋_GB2312" w:eastAsia="仿宋_GB2312" w:cs="仿宋_GB2312"/>
          <w:sz w:val="32"/>
          <w:szCs w:val="32"/>
          <w:lang w:val="en-US" w:eastAsia="zh-CN"/>
        </w:rPr>
        <w:t>界定，其他违法行为可参考适用</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食品领域的有关认定按照《国家市场监管总局市场监管行政违法行为首违不罚、轻微免罚清单</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》，药品、医疗器械、化妆品的有关认定按照《药品监督管理行政处罚裁量适用规则》执行。</w:t>
      </w:r>
      <w:r>
        <w:rPr>
          <w:rFonts w:hint="eastAsia" w:ascii="仿宋_GB2312" w:hAnsi="仿宋_GB2312" w:eastAsia="仿宋_GB2312" w:cs="仿宋_GB2312"/>
          <w:sz w:val="32"/>
          <w:szCs w:val="32"/>
          <w:lang w:val="en-US" w:eastAsia="zh-CN"/>
        </w:rPr>
        <w:t>　　</w:t>
      </w:r>
    </w:p>
    <w:p w14:paraId="307A590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第十条 主观过错判定  </w:t>
      </w:r>
    </w:p>
    <w:p w14:paraId="51604CB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当事人主观过错较小是指当事人疏忽，仅违反注意义务，不存在蓄意违法、对违法行为明知或应知以及在进行违法行为时认识到产生法律禁止的结果等情形。 　　</w:t>
      </w:r>
    </w:p>
    <w:p w14:paraId="3B7C1B9A">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积极进行整改，或采取召回、补偿等方式消除或减轻危害后果，并主动向商务和市场监管部门提交文件资料能证明尽到管理义务及整改情况的。商务和市场监管部门在认定违法行为时根据当事人所提交的证据判定其主观过错的大小。</w:t>
      </w:r>
    </w:p>
    <w:p w14:paraId="2BD656AA">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第十一条 观察期限</w:t>
      </w:r>
    </w:p>
    <w:p w14:paraId="62A0C011">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执法观察期限</w:t>
      </w:r>
      <w:r>
        <w:rPr>
          <w:rFonts w:hint="eastAsia" w:ascii="仿宋_GB2312" w:hAnsi="仿宋_GB2312" w:eastAsia="仿宋_GB2312" w:cs="仿宋_GB2312"/>
          <w:sz w:val="32"/>
          <w:szCs w:val="32"/>
        </w:rPr>
        <w:t>一般不超过30个自然日；特殊情况可由</w:t>
      </w:r>
      <w:r>
        <w:rPr>
          <w:rFonts w:hint="eastAsia" w:ascii="仿宋_GB2312" w:hAnsi="仿宋_GB2312" w:eastAsia="仿宋_GB2312" w:cs="仿宋_GB2312"/>
          <w:sz w:val="32"/>
          <w:szCs w:val="32"/>
          <w:lang w:val="en-US" w:eastAsia="zh-CN"/>
        </w:rPr>
        <w:t>执法机构根据案件实际情况</w:t>
      </w:r>
      <w:r>
        <w:rPr>
          <w:rFonts w:hint="eastAsia" w:ascii="仿宋_GB2312" w:hAnsi="仿宋_GB2312" w:eastAsia="仿宋_GB2312" w:cs="仿宋_GB2312"/>
          <w:sz w:val="32"/>
          <w:szCs w:val="32"/>
        </w:rPr>
        <w:t>可合理延长，但最长不超过60个自然日，且不得超过法定办案期限。责令改正期限与观察期一致的，以责令改正期限为准。</w:t>
      </w:r>
    </w:p>
    <w:p w14:paraId="0622C11A">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第十二条 启动流程</w:t>
      </w:r>
    </w:p>
    <w:p w14:paraId="004F6A6F">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rPr>
        <w:t>（一）审查提出。</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lang w:eastAsia="zh-CN"/>
        </w:rPr>
        <w:t>市场监管案件调查部门</w:t>
      </w:r>
      <w:r>
        <w:rPr>
          <w:rFonts w:hint="eastAsia" w:ascii="仿宋_GB2312" w:hAnsi="仿宋_GB2312" w:eastAsia="仿宋_GB2312" w:cs="仿宋_GB2312"/>
          <w:sz w:val="32"/>
          <w:szCs w:val="32"/>
          <w:lang w:val="en-US" w:eastAsia="zh-CN"/>
        </w:rPr>
        <w:t>发现违法线索</w:t>
      </w:r>
      <w:r>
        <w:rPr>
          <w:rFonts w:hint="eastAsia" w:ascii="仿宋_GB2312" w:hAnsi="仿宋_GB2312" w:eastAsia="仿宋_GB2312" w:cs="仿宋_GB2312"/>
          <w:sz w:val="32"/>
          <w:szCs w:val="32"/>
          <w:lang w:eastAsia="zh-CN"/>
        </w:rPr>
        <w:t>后、调查终结前，审查当事人是否可适用执法观察期制度，认为可适用的，征求当事人意见，按程序发出执法观察期责令改正通知书，明确给予当事人执法观察期，并明确违法行为的整改内容、要求、时限等，告知其达到执法观察期整改要求后可依法不予行政处罚。</w:t>
      </w:r>
    </w:p>
    <w:p w14:paraId="03CFF022">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lang w:eastAsia="zh-CN"/>
        </w:rPr>
        <w:t>市场监管部门</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rPr>
        <w:t>司法、检察、公安等</w:t>
      </w:r>
      <w:r>
        <w:rPr>
          <w:rFonts w:hint="eastAsia" w:ascii="仿宋_GB2312" w:hAnsi="仿宋_GB2312" w:eastAsia="仿宋_GB2312" w:cs="仿宋_GB2312"/>
          <w:sz w:val="32"/>
          <w:szCs w:val="32"/>
          <w:lang w:val="en-US" w:eastAsia="zh-CN"/>
        </w:rPr>
        <w:t>部门会商后</w:t>
      </w:r>
      <w:r>
        <w:rPr>
          <w:rFonts w:hint="eastAsia" w:ascii="仿宋_GB2312" w:hAnsi="仿宋_GB2312" w:eastAsia="仿宋_GB2312" w:cs="仿宋_GB2312"/>
          <w:sz w:val="32"/>
          <w:szCs w:val="32"/>
        </w:rPr>
        <w:t>建议对涉案企业从轻、减轻或者不予行政处罚的，经</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w:t>
      </w:r>
      <w:r>
        <w:rPr>
          <w:rFonts w:hint="eastAsia" w:ascii="仿宋_GB2312" w:hAnsi="仿宋_GB2312" w:eastAsia="仿宋_GB2312" w:cs="仿宋_GB2312"/>
          <w:sz w:val="32"/>
          <w:szCs w:val="32"/>
        </w:rPr>
        <w:t>审查符合适用“观察期”制度条件的，由涉案企业同意并提出申请，</w:t>
      </w:r>
      <w:r>
        <w:rPr>
          <w:rFonts w:hint="eastAsia" w:ascii="仿宋_GB2312" w:hAnsi="仿宋_GB2312" w:eastAsia="仿宋_GB2312" w:cs="仿宋_GB2312"/>
          <w:sz w:val="32"/>
          <w:szCs w:val="32"/>
          <w:lang w:val="en-US" w:eastAsia="zh-CN"/>
        </w:rPr>
        <w:t>经商务和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w:t>
      </w:r>
      <w:r>
        <w:rPr>
          <w:rFonts w:hint="eastAsia" w:ascii="仿宋_GB2312" w:hAnsi="仿宋_GB2312" w:eastAsia="仿宋_GB2312" w:cs="仿宋_GB2312"/>
          <w:sz w:val="32"/>
          <w:szCs w:val="32"/>
          <w:lang w:val="en-US" w:eastAsia="zh-CN"/>
        </w:rPr>
        <w:t>分管领导审批</w:t>
      </w:r>
      <w:r>
        <w:rPr>
          <w:rFonts w:hint="eastAsia" w:ascii="仿宋_GB2312" w:hAnsi="仿宋_GB2312" w:eastAsia="仿宋_GB2312" w:cs="仿宋_GB2312"/>
          <w:sz w:val="32"/>
          <w:szCs w:val="32"/>
        </w:rPr>
        <w:t xml:space="preserve">启动执法“观察期”。 </w:t>
      </w:r>
    </w:p>
    <w:p w14:paraId="3ACA0445">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涉案企业主动提出适用执法“观察期”制度的，</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w:t>
      </w:r>
      <w:r>
        <w:rPr>
          <w:rFonts w:hint="eastAsia" w:ascii="仿宋_GB2312" w:hAnsi="仿宋_GB2312" w:eastAsia="仿宋_GB2312" w:cs="仿宋_GB2312"/>
          <w:sz w:val="32"/>
          <w:szCs w:val="32"/>
        </w:rPr>
        <w:t>应当依法受理并进行审查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审查是否符合适用条件，提出适用意见及责令改正具体内容。</w:t>
      </w:r>
    </w:p>
    <w:p w14:paraId="6CFF5844">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（二）审批签发。</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w:t>
      </w:r>
      <w:r>
        <w:rPr>
          <w:rFonts w:hint="eastAsia" w:ascii="仿宋_GB2312" w:hAnsi="仿宋_GB2312" w:eastAsia="仿宋_GB2312" w:cs="仿宋_GB2312"/>
          <w:sz w:val="32"/>
          <w:szCs w:val="32"/>
        </w:rPr>
        <w:t>通过《行政处罚案件有关事项审批表》提出对当事人适用执法观察期制度的具体意见及责改决定的具体内容。按程序审核通过后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w:t>
      </w:r>
      <w:r>
        <w:rPr>
          <w:rFonts w:hint="eastAsia" w:ascii="仿宋_GB2312" w:hAnsi="仿宋_GB2312" w:eastAsia="仿宋_GB2312" w:cs="仿宋_GB2312"/>
          <w:sz w:val="32"/>
          <w:szCs w:val="32"/>
        </w:rPr>
        <w:t>的分管负责人及法制审核</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的分管负责人联合签发《</w:t>
      </w:r>
      <w:r>
        <w:rPr>
          <w:rFonts w:hint="eastAsia" w:ascii="仿宋_GB2312" w:hAnsi="仿宋_GB2312" w:eastAsia="仿宋_GB2312" w:cs="仿宋_GB2312"/>
          <w:sz w:val="32"/>
          <w:szCs w:val="32"/>
          <w:lang w:val="en-US" w:eastAsia="zh-CN"/>
        </w:rPr>
        <w:t>兰州新区商务和</w:t>
      </w:r>
      <w:r>
        <w:rPr>
          <w:rFonts w:hint="eastAsia" w:ascii="仿宋_GB2312" w:hAnsi="仿宋_GB2312" w:eastAsia="仿宋_GB2312" w:cs="仿宋_GB2312"/>
          <w:sz w:val="32"/>
          <w:szCs w:val="32"/>
        </w:rPr>
        <w:t>市场监督管理局执法观察期责令改正通知书》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09B4F54C">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对经审批同意适用执法观察期且此前已作出责令改正决定的案件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可结合当事人整改情况直接进入核查程序。</w:t>
      </w:r>
    </w:p>
    <w:p w14:paraId="4A4016D4">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eastAsiaTheme="minorEastAsia"/>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）告知承诺。</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w:t>
      </w:r>
      <w:r>
        <w:rPr>
          <w:rFonts w:hint="eastAsia" w:ascii="仿宋_GB2312" w:hAnsi="仿宋_GB2312" w:eastAsia="仿宋_GB2312" w:cs="仿宋_GB2312"/>
          <w:sz w:val="32"/>
          <w:szCs w:val="32"/>
        </w:rPr>
        <w:t>在三个工作日内</w:t>
      </w:r>
      <w:r>
        <w:rPr>
          <w:rFonts w:hint="eastAsia" w:ascii="仿宋_GB2312" w:hAnsi="仿宋_GB2312" w:eastAsia="仿宋_GB2312" w:cs="仿宋_GB2312"/>
          <w:sz w:val="32"/>
          <w:szCs w:val="32"/>
          <w:lang w:eastAsia="zh-CN"/>
        </w:rPr>
        <w:t>向当事人</w:t>
      </w:r>
      <w:r>
        <w:rPr>
          <w:rFonts w:hint="eastAsia" w:ascii="仿宋_GB2312" w:hAnsi="仿宋_GB2312" w:eastAsia="仿宋_GB2312" w:cs="仿宋_GB2312"/>
          <w:sz w:val="32"/>
          <w:szCs w:val="32"/>
        </w:rPr>
        <w:t>送达</w:t>
      </w:r>
      <w:r>
        <w:rPr>
          <w:rFonts w:hint="eastAsia" w:ascii="仿宋_GB2312" w:hAnsi="仿宋_GB2312" w:eastAsia="仿宋_GB2312" w:cs="仿宋_GB2312"/>
          <w:sz w:val="32"/>
          <w:szCs w:val="32"/>
          <w:lang w:eastAsia="zh-CN"/>
        </w:rPr>
        <w:t>通知书，</w:t>
      </w:r>
      <w:r>
        <w:rPr>
          <w:rFonts w:hint="eastAsia" w:ascii="仿宋_GB2312" w:hAnsi="仿宋_GB2312" w:eastAsia="仿宋_GB2312" w:cs="仿宋_GB2312"/>
          <w:sz w:val="32"/>
          <w:szCs w:val="32"/>
        </w:rPr>
        <w:t>明确告知当事人违法行为的整改内容、要求、时限</w:t>
      </w:r>
      <w:r>
        <w:rPr>
          <w:rFonts w:hint="eastAsia" w:ascii="仿宋_GB2312" w:hAnsi="仿宋_GB2312" w:eastAsia="仿宋_GB2312" w:cs="仿宋_GB2312"/>
          <w:sz w:val="32"/>
          <w:szCs w:val="32"/>
          <w:lang w:eastAsia="zh-CN"/>
        </w:rPr>
        <w:t>以及法律后果</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，由当事人签署承诺书，</w:t>
      </w:r>
      <w:r>
        <w:rPr>
          <w:rFonts w:hint="eastAsia" w:ascii="仿宋_GB2312" w:hAnsi="仿宋_GB2312" w:eastAsia="仿宋_GB2312" w:cs="仿宋_GB2312"/>
          <w:sz w:val="32"/>
          <w:szCs w:val="32"/>
        </w:rPr>
        <w:t>引导当事人主动纠正违法行为</w:t>
      </w:r>
      <w:r>
        <w:rPr>
          <w:rFonts w:hint="eastAsia" w:ascii="仿宋_GB2312" w:hAnsi="仿宋_GB2312" w:eastAsia="仿宋_GB2312" w:cs="仿宋_GB2312"/>
          <w:sz w:val="32"/>
          <w:szCs w:val="32"/>
          <w:lang w:eastAsia="zh-CN"/>
        </w:rPr>
        <w:t>送达。</w:t>
      </w:r>
    </w:p>
    <w:p w14:paraId="1427E466">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）全程记录。</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案件调查部门采取说服教育、劝导示范、警示告诫、指导约谈等柔性执法方式时，做好过程记录并附卷归档。</w:t>
      </w:r>
    </w:p>
    <w:p w14:paraId="4A60363B">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案件调查部门与法制审核部门对当事人是否可适用执法观察期制度的意见不一致的，可按程序提请集体审议。</w:t>
      </w:r>
    </w:p>
    <w:p w14:paraId="6B74A737">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第十三条 整改核查</w:t>
      </w:r>
    </w:p>
    <w:p w14:paraId="45EC98C2">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eastAsiaTheme="minorEastAsia"/>
          <w:lang w:eastAsia="zh-CN"/>
        </w:rPr>
      </w:pPr>
      <w:r>
        <w:rPr>
          <w:rFonts w:hint="eastAsia" w:ascii="仿宋_GB2312" w:hAnsi="仿宋_GB2312" w:eastAsia="仿宋_GB2312" w:cs="仿宋_GB2312"/>
          <w:sz w:val="32"/>
          <w:szCs w:val="32"/>
          <w:lang w:eastAsia="zh-CN"/>
        </w:rPr>
        <w:t>（一）当事人若按期完成整改，应主动提交书面整改报告及相关证明材料。</w:t>
      </w:r>
    </w:p>
    <w:p w14:paraId="07AB6720">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eastAsiaTheme="minorEastAsia"/>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案件调查部门在收到材料之日起5个工作日内开展现场核查；若当事人未按期提交材料，案件调查部门需在观察期届满之日起5个工作日内完成现场核查，并形成核查记录及证据附卷。</w:t>
      </w:r>
    </w:p>
    <w:p w14:paraId="58C374C4">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（三）核查范围涵盖原违法行为的整改情况，必要时可邀请相关业务科室对当事人开展全方位合规性审查，引导适用观察期当事人主动开展全面排查，合法合规生产经营。</w:t>
      </w:r>
      <w:r>
        <w:rPr>
          <w:rFonts w:hint="eastAsia" w:ascii="仿宋_GB2312" w:hAnsi="仿宋_GB2312" w:eastAsia="仿宋_GB2312" w:cs="仿宋_GB2312"/>
          <w:sz w:val="32"/>
          <w:szCs w:val="32"/>
          <w:lang w:val="en-US" w:eastAsia="zh-CN"/>
        </w:rPr>
        <w:t>也可邀请司法、检察机关全程参与核查，为行政执法提供司法支持与监督。</w:t>
      </w:r>
    </w:p>
    <w:p w14:paraId="37A39D8D">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第十四条 案件处理</w:t>
      </w:r>
    </w:p>
    <w:p w14:paraId="73724D88">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eastAsiaTheme="minorEastAsia"/>
          <w:lang w:eastAsia="zh-CN"/>
        </w:rPr>
      </w:pPr>
      <w:r>
        <w:rPr>
          <w:rFonts w:hint="eastAsia" w:ascii="楷体_GB2312" w:hAnsi="楷体_GB2312" w:eastAsia="楷体_GB2312" w:cs="楷体_GB2312"/>
          <w:sz w:val="32"/>
          <w:szCs w:val="32"/>
          <w:lang w:eastAsia="zh-CN"/>
        </w:rPr>
        <w:t>（一）不予处罚</w:t>
      </w:r>
      <w:r>
        <w:rPr>
          <w:rFonts w:hint="eastAsia" w:ascii="仿宋_GB2312" w:hAnsi="仿宋_GB2312" w:eastAsia="仿宋_GB2312" w:cs="仿宋_GB2312"/>
          <w:sz w:val="32"/>
          <w:szCs w:val="32"/>
          <w:lang w:eastAsia="zh-CN"/>
        </w:rPr>
        <w:t>。若当事人按期完成整改且核查合格，观察期内无新的违法行为，依法作出不予行政处罚的决定。</w:t>
      </w:r>
    </w:p>
    <w:p w14:paraId="43E38ADF">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eastAsiaTheme="minorEastAsia"/>
          <w:lang w:eastAsia="zh-CN"/>
        </w:rPr>
      </w:pPr>
      <w:r>
        <w:rPr>
          <w:rFonts w:hint="eastAsia" w:ascii="楷体_GB2312" w:hAnsi="楷体_GB2312" w:eastAsia="楷体_GB2312" w:cs="楷体_GB2312"/>
          <w:sz w:val="32"/>
          <w:szCs w:val="32"/>
          <w:lang w:eastAsia="zh-CN"/>
        </w:rPr>
        <w:t>（二）终止观察并处罚。</w:t>
      </w:r>
      <w:r>
        <w:rPr>
          <w:rFonts w:hint="eastAsia" w:ascii="仿宋_GB2312" w:hAnsi="仿宋_GB2312" w:eastAsia="仿宋_GB2312" w:cs="仿宋_GB2312"/>
          <w:sz w:val="32"/>
          <w:szCs w:val="32"/>
          <w:lang w:eastAsia="zh-CN"/>
        </w:rPr>
        <w:t>出现下列情形之一的，立即终止观察期，并依法作出行政处罚：</w:t>
      </w:r>
    </w:p>
    <w:p w14:paraId="77E6F9B1">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无正当理由未按期整改、整改不合格，或未消除危害后果；</w:t>
      </w:r>
    </w:p>
    <w:p w14:paraId="68A06EA7">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拒不配合柔性执法、拒不履行承诺；</w:t>
      </w:r>
    </w:p>
    <w:p w14:paraId="113C785A">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观察期内出现新的商务</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val="en-US" w:eastAsia="zh-CN"/>
        </w:rPr>
        <w:t>领域</w:t>
      </w:r>
      <w:r>
        <w:rPr>
          <w:rFonts w:hint="eastAsia" w:ascii="仿宋_GB2312" w:hAnsi="仿宋_GB2312" w:eastAsia="仿宋_GB2312" w:cs="仿宋_GB2312"/>
          <w:sz w:val="32"/>
          <w:szCs w:val="32"/>
        </w:rPr>
        <w:t>违法行为；</w:t>
      </w:r>
    </w:p>
    <w:p w14:paraId="0E0A22A4">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发现存在隐瞒重要事实、提供虚假材料等</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rPr>
        <w:t>。</w:t>
      </w:r>
    </w:p>
    <w:p w14:paraId="526300EF">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第十五条 审核审议</w:t>
      </w:r>
    </w:p>
    <w:p w14:paraId="5D2B711F">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适用观察期并作出不予处罚决定的案件，应当经过</w:t>
      </w:r>
      <w:r>
        <w:rPr>
          <w:rFonts w:hint="eastAsia" w:ascii="仿宋_GB2312" w:hAnsi="仿宋_GB2312" w:eastAsia="仿宋_GB2312" w:cs="仿宋_GB2312"/>
          <w:sz w:val="32"/>
          <w:szCs w:val="32"/>
          <w:lang w:val="en-US" w:eastAsia="zh-CN"/>
        </w:rPr>
        <w:t>商务和市场监管部门</w:t>
      </w:r>
      <w:r>
        <w:rPr>
          <w:rFonts w:hint="eastAsia" w:ascii="仿宋_GB2312" w:hAnsi="仿宋_GB2312" w:eastAsia="仿宋_GB2312" w:cs="仿宋_GB2312"/>
          <w:sz w:val="32"/>
          <w:szCs w:val="32"/>
        </w:rPr>
        <w:t>法制审核和行政机关负责人集体讨论。</w:t>
      </w:r>
    </w:p>
    <w:p w14:paraId="5EBBA4B8">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第十六条 协作监督</w:t>
      </w:r>
    </w:p>
    <w:p w14:paraId="7E5927C4">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商务和</w:t>
      </w: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eastAsia="zh-CN"/>
        </w:rPr>
        <w:t>案件调查部门与法制审核部门应</w:t>
      </w:r>
      <w:r>
        <w:rPr>
          <w:rFonts w:hint="eastAsia" w:ascii="仿宋_GB2312" w:hAnsi="仿宋_GB2312" w:eastAsia="仿宋_GB2312" w:cs="仿宋_GB2312"/>
          <w:sz w:val="32"/>
          <w:szCs w:val="32"/>
        </w:rPr>
        <w:t>加强沟通协作，严格规范适用，不得选择性适用、以教代罚，不得侵害当事人</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合法权益。</w:t>
      </w:r>
    </w:p>
    <w:p w14:paraId="08E31952">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司法、检察机关可针对此类案件开展专项监督检查，全程参与，及时跟进了解案件办理情况。</w:t>
      </w:r>
    </w:p>
    <w:p w14:paraId="11043589">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第十七条 衔接适用</w:t>
      </w:r>
    </w:p>
    <w:p w14:paraId="076AE55C">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若当事人的违法行为不适用本制度，可依据《</w:t>
      </w:r>
      <w:r>
        <w:rPr>
          <w:rFonts w:hint="eastAsia" w:ascii="仿宋_GB2312" w:hAnsi="仿宋_GB2312" w:eastAsia="仿宋_GB2312" w:cs="仿宋_GB2312"/>
          <w:sz w:val="32"/>
          <w:szCs w:val="32"/>
          <w:lang w:val="en-US" w:eastAsia="zh-CN"/>
        </w:rPr>
        <w:t>中华人民共和国</w:t>
      </w:r>
      <w:r>
        <w:rPr>
          <w:rFonts w:hint="eastAsia" w:ascii="仿宋_GB2312" w:hAnsi="仿宋_GB2312" w:eastAsia="仿宋_GB2312" w:cs="仿宋_GB2312"/>
          <w:sz w:val="32"/>
          <w:szCs w:val="32"/>
          <w:lang w:eastAsia="zh-CN"/>
        </w:rPr>
        <w:t>行政处罚法》《国家市场监管总局市场监管行政违法行为首违不罚、轻微免罚清单（一）》《甘肃省市场监管轻微违法经营行为免予处罚清单（2020 版）》《甘肃省市场监管首违不罚、轻微免罚清单（2025版）》《甘肃省市场监管减轻行政处罚清单（2025版）》及兰州新区“两轻一免”清单</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规定，依法作出从轻、减轻或不予处罚的决定。</w:t>
      </w:r>
    </w:p>
    <w:p w14:paraId="71BFC3C6">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第十八条 文书规范</w:t>
      </w:r>
    </w:p>
    <w:p w14:paraId="0BCE1E41">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执法观察期相关文书统一使用本局制式文书，全程留痕、规范归档。</w:t>
      </w:r>
    </w:p>
    <w:p w14:paraId="60F7BAF4">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第十九条 解释权</w:t>
      </w:r>
    </w:p>
    <w:p w14:paraId="235F614F">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本制度由兰州新区商务和市场监督管理局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兰州新区民政司法和社会保障局、兰州新区人民检察院</w:t>
      </w:r>
      <w:r>
        <w:rPr>
          <w:rFonts w:hint="eastAsia" w:ascii="仿宋_GB2312" w:hAnsi="仿宋_GB2312" w:eastAsia="仿宋_GB2312" w:cs="仿宋_GB2312"/>
          <w:sz w:val="32"/>
          <w:szCs w:val="32"/>
        </w:rPr>
        <w:t>负责解释。</w:t>
      </w:r>
    </w:p>
    <w:p w14:paraId="6CE22113">
      <w:pPr>
        <w:keepNext w:val="0"/>
        <w:keepLines w:val="0"/>
        <w:pageBreakBefore w:val="0"/>
        <w:widowControl/>
        <w:numPr>
          <w:ilvl w:val="0"/>
          <w:numId w:val="0"/>
        </w:numPr>
        <w:kinsoku/>
        <w:wordWrap/>
        <w:overflowPunct/>
        <w:topLinePunct w:val="0"/>
        <w:autoSpaceDE/>
        <w:autoSpaceDN/>
        <w:bidi w:val="0"/>
        <w:adjustRightInd/>
        <w:snapToGrid/>
        <w:spacing w:line="6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第二十条 施行日期</w:t>
      </w:r>
    </w:p>
    <w:p w14:paraId="124EF6B2">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本制度自印发之日起施行，有效期2年。若法律法规、规章或上级文件另有规定，则从其规定。 </w:t>
      </w:r>
    </w:p>
    <w:p w14:paraId="67047578">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eastAsia="zh-CN"/>
        </w:rPr>
      </w:pPr>
    </w:p>
    <w:p w14:paraId="3F9F7140">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附件：兰州新区商务和</w:t>
      </w:r>
      <w:r>
        <w:rPr>
          <w:rFonts w:hint="eastAsia" w:ascii="仿宋_GB2312" w:hAnsi="仿宋_GB2312" w:eastAsia="仿宋_GB2312" w:cs="仿宋_GB2312"/>
          <w:sz w:val="32"/>
          <w:szCs w:val="32"/>
        </w:rPr>
        <w:t>市场监督管理局执法观察期责令改正通知书</w:t>
      </w:r>
      <w:bookmarkStart w:id="0" w:name="_GoBack"/>
      <w:bookmarkEnd w:id="0"/>
    </w:p>
    <w:p w14:paraId="798177D3">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val="en-US" w:eastAsia="zh-CN"/>
        </w:rPr>
      </w:pPr>
    </w:p>
    <w:p w14:paraId="7CA6C73C">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val="en-US" w:eastAsia="zh-CN"/>
        </w:rPr>
      </w:pPr>
    </w:p>
    <w:p w14:paraId="53AFD204">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val="en-US" w:eastAsia="zh-CN"/>
        </w:rPr>
      </w:pPr>
    </w:p>
    <w:p w14:paraId="72CB4FE4">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val="en-US" w:eastAsia="zh-CN"/>
        </w:rPr>
      </w:pPr>
    </w:p>
    <w:p w14:paraId="789AE86C">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val="en-US" w:eastAsia="zh-CN"/>
        </w:rPr>
      </w:pPr>
    </w:p>
    <w:p w14:paraId="4D059902">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_GB2312" w:hAnsi="仿宋_GB2312" w:eastAsia="仿宋_GB2312" w:cs="仿宋_GB2312"/>
          <w:sz w:val="32"/>
          <w:szCs w:val="32"/>
          <w:lang w:val="en-US" w:eastAsia="zh-CN"/>
        </w:rPr>
      </w:pPr>
    </w:p>
    <w:p w14:paraId="420D4303">
      <w:pPr>
        <w:keepNext w:val="0"/>
        <w:keepLines w:val="0"/>
        <w:pageBreakBefore w:val="0"/>
        <w:widowControl w:val="0"/>
        <w:kinsoku/>
        <w:wordWrap/>
        <w:overflowPunct/>
        <w:topLinePunct w:val="0"/>
        <w:bidi w:val="0"/>
        <w:adjustRightInd/>
        <w:snapToGrid/>
        <w:spacing w:line="578" w:lineRule="exact"/>
        <w:jc w:val="both"/>
        <w:textAlignment w:val="auto"/>
        <w:rPr>
          <w:rFonts w:hint="default" w:ascii="黑体" w:hAnsi="黑体" w:eastAsia="黑体" w:cs="宋体"/>
          <w:bCs/>
          <w:color w:val="auto"/>
          <w:kern w:val="0"/>
          <w:sz w:val="32"/>
          <w:szCs w:val="32"/>
          <w:rtl w:val="0"/>
          <w:lang w:val="en-US" w:eastAsia="zh-CN" w:bidi="ar-SA"/>
        </w:rPr>
      </w:pPr>
      <w:r>
        <w:rPr>
          <w:rFonts w:hint="eastAsia" w:ascii="黑体" w:hAnsi="黑体" w:eastAsia="黑体" w:cs="宋体"/>
          <w:bCs/>
          <w:color w:val="auto"/>
          <w:kern w:val="0"/>
          <w:sz w:val="32"/>
          <w:szCs w:val="32"/>
          <w:rtl w:val="0"/>
          <w:lang w:val="zh-CN" w:eastAsia="zh-CN" w:bidi="ar-SA"/>
        </w:rPr>
        <w:t>附件：</w:t>
      </w:r>
    </w:p>
    <w:p w14:paraId="258E0F6E">
      <w:pPr>
        <w:keepNext w:val="0"/>
        <w:keepLines w:val="0"/>
        <w:pageBreakBefore w:val="0"/>
        <w:widowControl w:val="0"/>
        <w:kinsoku/>
        <w:wordWrap/>
        <w:overflowPunct/>
        <w:topLinePunct w:val="0"/>
        <w:bidi w:val="0"/>
        <w:adjustRightInd/>
        <w:snapToGrid/>
        <w:spacing w:line="578" w:lineRule="exact"/>
        <w:jc w:val="center"/>
        <w:textAlignment w:val="auto"/>
        <w:rPr>
          <w:rFonts w:hint="eastAsia"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lang w:val="en-US" w:eastAsia="zh-CN"/>
        </w:rPr>
        <w:t>兰州新区商务和</w:t>
      </w:r>
      <w:r>
        <w:rPr>
          <w:rFonts w:hint="eastAsia" w:ascii="方正小标宋简体" w:hAnsi="黑体" w:eastAsia="方正小标宋简体" w:cs="黑体"/>
          <w:color w:val="auto"/>
          <w:sz w:val="44"/>
          <w:szCs w:val="44"/>
        </w:rPr>
        <w:t>市场监督管理局</w:t>
      </w:r>
    </w:p>
    <w:p w14:paraId="7563A9C4">
      <w:pPr>
        <w:keepNext w:val="0"/>
        <w:keepLines w:val="0"/>
        <w:pageBreakBefore w:val="0"/>
        <w:widowControl w:val="0"/>
        <w:kinsoku/>
        <w:wordWrap/>
        <w:overflowPunct/>
        <w:topLinePunct w:val="0"/>
        <w:bidi w:val="0"/>
        <w:adjustRightInd/>
        <w:snapToGrid/>
        <w:spacing w:line="578" w:lineRule="exact"/>
        <w:jc w:val="center"/>
        <w:textAlignment w:val="auto"/>
        <w:rPr>
          <w:rFonts w:hint="eastAsia" w:ascii="方正小标宋简体" w:hAnsi="黑体" w:eastAsia="方正小标宋简体" w:cs="黑体"/>
          <w:color w:val="auto"/>
          <w:sz w:val="44"/>
          <w:szCs w:val="44"/>
        </w:rPr>
      </w:pPr>
      <w:r>
        <w:rPr>
          <w:rFonts w:hint="eastAsia" w:ascii="方正小标宋简体" w:hAnsi="黑体" w:eastAsia="方正小标宋简体" w:cs="黑体"/>
          <w:color w:val="auto"/>
          <w:sz w:val="44"/>
          <w:szCs w:val="44"/>
        </w:rPr>
        <w:t>执法观察期责令改正通知书</w:t>
      </w:r>
    </w:p>
    <w:p w14:paraId="4B4A62CB">
      <w:pPr>
        <w:pStyle w:val="3"/>
        <w:keepNext w:val="0"/>
        <w:keepLines w:val="0"/>
        <w:pageBreakBefore w:val="0"/>
        <w:widowControl w:val="0"/>
        <w:kinsoku/>
        <w:wordWrap/>
        <w:overflowPunct/>
        <w:topLinePunct w:val="0"/>
        <w:bidi w:val="0"/>
        <w:adjustRightInd/>
        <w:snapToGrid/>
        <w:spacing w:line="578" w:lineRule="exact"/>
        <w:jc w:val="center"/>
        <w:textAlignment w:val="auto"/>
        <w:rPr>
          <w:rFonts w:hint="default" w:ascii="Times New Roman" w:hAnsi="Times New Roman" w:eastAsia="仿宋_GB2312" w:cs="Times New Roman"/>
          <w:color w:val="auto"/>
          <w:sz w:val="32"/>
          <w:szCs w:val="32"/>
          <w:lang w:val="en-US"/>
        </w:rPr>
      </w:pPr>
      <w:r>
        <w:rPr>
          <w:rFonts w:hint="eastAsia" w:ascii="Times New Roman" w:hAnsi="Times New Roman" w:eastAsia="仿宋_GB2312" w:cs="Times New Roman"/>
          <w:color w:val="auto"/>
          <w:sz w:val="32"/>
          <w:szCs w:val="32"/>
          <w:lang w:val="en-US" w:eastAsia="zh-CN"/>
        </w:rPr>
        <w:t>（兰新）商市监观察责改</w:t>
      </w:r>
      <w:r>
        <w:rPr>
          <w:rFonts w:hint="eastAsia" w:ascii="微软雅黑" w:hAnsi="微软雅黑" w:eastAsia="微软雅黑" w:cs="微软雅黑"/>
          <w:color w:val="auto"/>
          <w:sz w:val="32"/>
          <w:szCs w:val="32"/>
          <w:lang w:val="en-US" w:eastAsia="zh-CN"/>
        </w:rPr>
        <w:t>〔   〕* *号</w:t>
      </w:r>
    </w:p>
    <w:p w14:paraId="62221E13">
      <w:pPr>
        <w:pStyle w:val="3"/>
        <w:keepNext w:val="0"/>
        <w:keepLines w:val="0"/>
        <w:pageBreakBefore w:val="0"/>
        <w:widowControl w:val="0"/>
        <w:tabs>
          <w:tab w:val="left" w:pos="7982"/>
          <w:tab w:val="left" w:pos="8222"/>
        </w:tabs>
        <w:kinsoku/>
        <w:wordWrap/>
        <w:overflowPunct/>
        <w:topLinePunct w:val="0"/>
        <w:bidi w:val="0"/>
        <w:adjustRightInd/>
        <w:snapToGrid/>
        <w:spacing w:line="578" w:lineRule="exact"/>
        <w:jc w:val="both"/>
        <w:textAlignment w:val="auto"/>
        <w:rPr>
          <w:rFonts w:hint="default" w:ascii="Times New Roman" w:hAnsi="Times New Roman" w:eastAsia="仿宋_GB2312" w:cs="Times New Roman"/>
          <w:color w:val="auto"/>
          <w:spacing w:val="-1"/>
          <w:sz w:val="32"/>
          <w:szCs w:val="32"/>
        </w:rPr>
      </w:pPr>
    </w:p>
    <w:p w14:paraId="3A952C55">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w:t>
      </w:r>
    </w:p>
    <w:p w14:paraId="5352A62B">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统一社会信用代码</w:t>
      </w:r>
      <w:r>
        <w:rPr>
          <w:rFonts w:hint="eastAsia" w:ascii="仿宋_GB2312" w:hAnsi="仿宋_GB2312" w:eastAsia="仿宋_GB2312" w:cs="仿宋_GB2312"/>
          <w:color w:val="auto"/>
          <w:sz w:val="32"/>
          <w:szCs w:val="32"/>
          <w:lang w:eastAsia="zh-CN"/>
        </w:rPr>
        <w:t>（居民身份证号码）</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p>
    <w:p w14:paraId="1DA18906">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hint="default"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lang w:eastAsia="zh-CN"/>
        </w:rPr>
        <w:t>名称</w:t>
      </w:r>
      <w:r>
        <w:rPr>
          <w:rFonts w:hint="eastAsia" w:ascii="仿宋_GB2312" w:hAnsi="仿宋_GB2312" w:eastAsia="仿宋_GB2312" w:cs="仿宋_GB2312"/>
          <w:color w:val="auto"/>
          <w:sz w:val="32"/>
          <w:szCs w:val="32"/>
        </w:rPr>
        <w:t>（经营者</w:t>
      </w:r>
      <w:r>
        <w:rPr>
          <w:rFonts w:hint="eastAsia" w:ascii="仿宋_GB2312" w:hAnsi="仿宋_GB2312" w:eastAsia="仿宋_GB2312" w:cs="仿宋_GB2312"/>
          <w:color w:val="auto"/>
          <w:sz w:val="32"/>
          <w:szCs w:val="32"/>
          <w:lang w:eastAsia="zh-CN"/>
        </w:rPr>
        <w:t>或法定代表人</w:t>
      </w:r>
      <w:r>
        <w:rPr>
          <w:rFonts w:hint="eastAsia" w:ascii="仿宋_GB2312" w:hAnsi="仿宋_GB2312" w:eastAsia="仿宋_GB2312" w:cs="仿宋_GB2312"/>
          <w:color w:val="auto"/>
          <w:sz w:val="32"/>
          <w:szCs w:val="32"/>
        </w:rPr>
        <w:t>或自然人）：</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p>
    <w:p w14:paraId="0ABDFC18">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联系电话：</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p>
    <w:p w14:paraId="3CEF6FA1">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住所（经营场所或住所）：</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p>
    <w:p w14:paraId="328447EC">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ind w:firstLine="640" w:firstLineChars="200"/>
        <w:jc w:val="both"/>
        <w:textAlignment w:val="auto"/>
        <w:rPr>
          <w:rFonts w:hint="eastAsia" w:ascii="黑体" w:hAnsi="黑体" w:eastAsia="黑体"/>
          <w:color w:val="auto"/>
          <w:sz w:val="32"/>
          <w:szCs w:val="32"/>
          <w:u w:val="single"/>
          <w:lang w:val="en-US"/>
        </w:rPr>
      </w:pPr>
      <w:r>
        <w:rPr>
          <w:rFonts w:hint="eastAsia" w:ascii="黑体" w:hAnsi="黑体" w:eastAsia="黑体"/>
          <w:bCs/>
          <w:color w:val="auto"/>
          <w:sz w:val="32"/>
          <w:szCs w:val="32"/>
          <w:lang w:val="en-US"/>
        </w:rPr>
        <w:t>一、违法事实及证据</w:t>
      </w:r>
    </w:p>
    <w:p w14:paraId="26101F37">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rPr>
      </w:pPr>
      <w:r>
        <w:rPr>
          <w:rFonts w:hint="eastAsia" w:ascii="仿宋_GB2312" w:eastAsia="仿宋_GB2312"/>
          <w:color w:val="auto"/>
          <w:sz w:val="32"/>
          <w:szCs w:val="32"/>
          <w:lang w:val="en-US"/>
        </w:rPr>
        <w:t xml:space="preserve">    </w:t>
      </w: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lang w:val="en-US"/>
        </w:rPr>
        <w:t>年</w:t>
      </w: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lang w:val="en-US"/>
        </w:rPr>
        <w:t>月</w:t>
      </w: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lang w:val="en-US"/>
        </w:rPr>
        <w:t>日，</w:t>
      </w:r>
      <w:r>
        <w:rPr>
          <w:rFonts w:hint="eastAsia" w:ascii="仿宋_GB2312" w:eastAsia="仿宋_GB2312"/>
          <w:color w:val="auto"/>
          <w:spacing w:val="-5"/>
          <w:sz w:val="32"/>
          <w:szCs w:val="32"/>
          <w:lang w:val="en-US"/>
        </w:rPr>
        <w:t>我</w:t>
      </w:r>
      <w:r>
        <w:rPr>
          <w:rFonts w:hint="eastAsia" w:ascii="仿宋_GB2312" w:eastAsia="仿宋_GB2312"/>
          <w:color w:val="auto"/>
          <w:spacing w:val="-8"/>
          <w:sz w:val="32"/>
          <w:szCs w:val="32"/>
        </w:rPr>
        <w:t>局执法人员</w:t>
      </w:r>
      <w:r>
        <w:rPr>
          <w:rFonts w:hint="eastAsia" w:ascii="仿宋_GB2312" w:eastAsia="仿宋_GB2312"/>
          <w:color w:val="auto"/>
          <w:spacing w:val="-8"/>
          <w:sz w:val="32"/>
          <w:szCs w:val="32"/>
          <w:lang w:val="en-US"/>
        </w:rPr>
        <w:t>对</w:t>
      </w:r>
      <w:r>
        <w:rPr>
          <w:rFonts w:hint="eastAsia" w:ascii="仿宋_GB2312" w:eastAsia="仿宋_GB2312"/>
          <w:color w:val="auto"/>
          <w:sz w:val="32"/>
          <w:szCs w:val="32"/>
          <w:lang w:val="en-US"/>
        </w:rPr>
        <w:t>当事人</w:t>
      </w:r>
      <w:r>
        <w:rPr>
          <w:rFonts w:hint="eastAsia" w:ascii="仿宋_GB2312" w:eastAsia="仿宋_GB2312"/>
          <w:color w:val="auto"/>
          <w:spacing w:val="-8"/>
          <w:sz w:val="32"/>
          <w:szCs w:val="32"/>
          <w:lang w:val="en-US"/>
        </w:rPr>
        <w:t>进行</w:t>
      </w:r>
      <w:r>
        <w:rPr>
          <w:rFonts w:hint="eastAsia" w:ascii="仿宋_GB2312" w:eastAsia="仿宋_GB2312"/>
          <w:color w:val="auto"/>
          <w:sz w:val="32"/>
          <w:szCs w:val="32"/>
          <w:lang w:val="en-US"/>
        </w:rPr>
        <w:t>现场检查时发现，当事人存在以下事实情形：</w:t>
      </w:r>
      <w:r>
        <w:rPr>
          <w:rFonts w:hint="eastAsia" w:ascii="仿宋_GB2312" w:eastAsia="仿宋_GB2312"/>
          <w:color w:val="auto"/>
          <w:sz w:val="32"/>
          <w:szCs w:val="32"/>
          <w:u w:val="single"/>
          <w:lang w:val="en-US"/>
        </w:rPr>
        <w:t xml:space="preserve"> （陈述违法行为发生的时间、地点、具体行为、情节、危害后果等内容）                                                       </w:t>
      </w:r>
    </w:p>
    <w:p w14:paraId="48413C69">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u w:val="single"/>
          <w:lang w:val="en-US" w:eastAsia="zh-CN"/>
        </w:rPr>
        <w:t xml:space="preserve">      </w:t>
      </w:r>
    </w:p>
    <w:p w14:paraId="65D7F0DC">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u w:val="single"/>
          <w:lang w:val="en-US" w:eastAsia="zh-CN"/>
        </w:rPr>
        <w:t xml:space="preserve">      </w:t>
      </w:r>
    </w:p>
    <w:p w14:paraId="74FD6175">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u w:val="single"/>
          <w:lang w:val="en-US" w:eastAsia="zh-CN"/>
        </w:rPr>
        <w:t xml:space="preserve">      </w:t>
      </w:r>
    </w:p>
    <w:p w14:paraId="7655FDA3">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rPr>
      </w:pP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lang w:val="en-US"/>
        </w:rPr>
        <w:t xml:space="preserve"> </w:t>
      </w:r>
    </w:p>
    <w:p w14:paraId="00CF5854">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default" w:ascii="仿宋_GB2312" w:eastAsia="仿宋_GB2312"/>
          <w:color w:val="auto"/>
          <w:sz w:val="32"/>
          <w:szCs w:val="32"/>
          <w:u w:val="single"/>
          <w:lang w:val="en-US"/>
        </w:rPr>
      </w:pP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u w:val="single"/>
          <w:lang w:val="en-US" w:eastAsia="zh-CN"/>
        </w:rPr>
        <w:t xml:space="preserve">                                                       </w:t>
      </w:r>
    </w:p>
    <w:p w14:paraId="7A4AFB9F">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ind w:firstLine="645"/>
        <w:jc w:val="both"/>
        <w:textAlignment w:val="auto"/>
        <w:rPr>
          <w:rFonts w:hint="eastAsia" w:ascii="仿宋_GB2312" w:eastAsia="仿宋_GB2312"/>
          <w:color w:val="auto"/>
          <w:sz w:val="32"/>
          <w:szCs w:val="32"/>
          <w:u w:val="single"/>
          <w:lang w:val="en-US"/>
        </w:rPr>
      </w:pPr>
      <w:r>
        <w:rPr>
          <w:rFonts w:hint="eastAsia" w:ascii="仿宋_GB2312" w:eastAsia="仿宋_GB2312"/>
          <w:color w:val="auto"/>
          <w:sz w:val="32"/>
          <w:szCs w:val="32"/>
          <w:lang w:val="en-US"/>
        </w:rPr>
        <w:t>以上事实，有</w:t>
      </w:r>
      <w:r>
        <w:rPr>
          <w:rFonts w:hint="eastAsia" w:ascii="仿宋_GB2312" w:eastAsia="仿宋_GB2312"/>
          <w:color w:val="auto"/>
          <w:sz w:val="32"/>
          <w:szCs w:val="32"/>
          <w:u w:val="single"/>
          <w:lang w:val="en-US"/>
        </w:rPr>
        <w:t xml:space="preserve"> （主要证据信息</w:t>
      </w:r>
      <w:r>
        <w:rPr>
          <w:rFonts w:hint="eastAsia" w:ascii="仿宋_GB2312" w:eastAsia="仿宋_GB2312"/>
          <w:color w:val="auto"/>
          <w:sz w:val="32"/>
          <w:szCs w:val="32"/>
          <w:u w:val="single"/>
          <w:lang w:val="en-US" w:eastAsia="zh-CN"/>
        </w:rPr>
        <w:t xml:space="preserve">、名称等）               </w:t>
      </w:r>
      <w:r>
        <w:rPr>
          <w:rFonts w:hint="eastAsia" w:ascii="仿宋_GB2312" w:eastAsia="仿宋_GB2312"/>
          <w:color w:val="auto"/>
          <w:sz w:val="32"/>
          <w:szCs w:val="32"/>
          <w:u w:val="single"/>
          <w:lang w:val="en-US"/>
        </w:rPr>
        <w:t xml:space="preserve"> </w:t>
      </w:r>
    </w:p>
    <w:p w14:paraId="23D34154">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rPr>
      </w:pP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lang w:val="en-US"/>
        </w:rPr>
        <w:t xml:space="preserve">    </w:t>
      </w:r>
    </w:p>
    <w:p w14:paraId="6C757671">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rPr>
      </w:pP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lang w:val="en-US"/>
        </w:rPr>
        <w:t xml:space="preserve">    </w:t>
      </w:r>
    </w:p>
    <w:p w14:paraId="1289BFDE">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jc w:val="both"/>
        <w:textAlignment w:val="auto"/>
        <w:rPr>
          <w:rFonts w:hint="eastAsia"/>
          <w:lang w:val="en-US"/>
        </w:rPr>
      </w:pP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lang w:val="en-US"/>
        </w:rPr>
        <w:t xml:space="preserve">    </w:t>
      </w:r>
    </w:p>
    <w:p w14:paraId="591EF908">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lang w:val="en-US"/>
        </w:rPr>
      </w:pP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lang w:val="en-US"/>
        </w:rPr>
        <w:t xml:space="preserve">    </w:t>
      </w:r>
      <w:r>
        <w:rPr>
          <w:rFonts w:hint="eastAsia" w:ascii="仿宋_GB2312" w:eastAsia="仿宋_GB2312"/>
          <w:color w:val="auto"/>
          <w:sz w:val="32"/>
          <w:szCs w:val="32"/>
          <w:lang w:val="en-US"/>
        </w:rPr>
        <w:t>等证据材料予以证实。</w:t>
      </w:r>
    </w:p>
    <w:p w14:paraId="727E2552">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ind w:firstLine="645"/>
        <w:jc w:val="both"/>
        <w:textAlignment w:val="auto"/>
        <w:rPr>
          <w:rFonts w:hint="eastAsia" w:ascii="黑体" w:hAnsi="黑体" w:eastAsia="黑体"/>
          <w:bCs/>
          <w:color w:val="auto"/>
          <w:sz w:val="32"/>
          <w:szCs w:val="32"/>
          <w:lang w:val="en-US"/>
        </w:rPr>
      </w:pPr>
      <w:r>
        <w:rPr>
          <w:rFonts w:hint="eastAsia" w:ascii="黑体" w:hAnsi="黑体" w:eastAsia="黑体"/>
          <w:bCs/>
          <w:color w:val="auto"/>
          <w:sz w:val="32"/>
          <w:szCs w:val="32"/>
          <w:lang w:val="en-US"/>
        </w:rPr>
        <w:t>二、法律法规规章或</w:t>
      </w:r>
      <w:r>
        <w:rPr>
          <w:rFonts w:hint="eastAsia" w:ascii="黑体" w:hAnsi="黑体" w:eastAsia="黑体"/>
          <w:bCs/>
          <w:color w:val="auto"/>
          <w:sz w:val="32"/>
          <w:szCs w:val="32"/>
          <w:lang w:val="en-US" w:eastAsia="zh-CN"/>
        </w:rPr>
        <w:t>政策文件</w:t>
      </w:r>
      <w:r>
        <w:rPr>
          <w:rFonts w:hint="eastAsia" w:ascii="黑体" w:hAnsi="黑体" w:eastAsia="黑体"/>
          <w:bCs/>
          <w:color w:val="auto"/>
          <w:sz w:val="32"/>
          <w:szCs w:val="32"/>
          <w:lang w:val="en-US"/>
        </w:rPr>
        <w:t>依据及给予执法观察期内容</w:t>
      </w:r>
    </w:p>
    <w:p w14:paraId="69FC0A01">
      <w:pPr>
        <w:pStyle w:val="3"/>
        <w:keepNext w:val="0"/>
        <w:keepLines w:val="0"/>
        <w:pageBreakBefore w:val="0"/>
        <w:widowControl w:val="0"/>
        <w:tabs>
          <w:tab w:val="left" w:pos="7982"/>
        </w:tabs>
        <w:kinsoku/>
        <w:wordWrap/>
        <w:overflowPunct/>
        <w:topLinePunct w:val="0"/>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lang w:val="en-US"/>
        </w:rPr>
      </w:pPr>
      <w:r>
        <w:rPr>
          <w:rFonts w:hint="eastAsia" w:ascii="仿宋_GB2312" w:eastAsia="仿宋_GB2312"/>
          <w:color w:val="auto"/>
          <w:sz w:val="32"/>
          <w:szCs w:val="32"/>
          <w:lang w:val="en-US"/>
        </w:rPr>
        <w:t>当事人上述行为违反了（</w:t>
      </w:r>
      <w:r>
        <w:rPr>
          <w:rFonts w:hint="eastAsia" w:ascii="仿宋_GB2312" w:eastAsia="仿宋_GB2312"/>
          <w:color w:val="auto"/>
          <w:sz w:val="32"/>
          <w:szCs w:val="32"/>
          <w:u w:val="single"/>
          <w:lang w:val="en-US"/>
        </w:rPr>
        <w:t>相关</w:t>
      </w:r>
      <w:r>
        <w:rPr>
          <w:rFonts w:hint="eastAsia" w:ascii="仿宋_GB2312" w:eastAsia="仿宋_GB2312"/>
          <w:color w:val="auto"/>
          <w:sz w:val="32"/>
          <w:szCs w:val="32"/>
          <w:u w:val="single"/>
          <w:lang w:val="en-US" w:eastAsia="zh-CN"/>
        </w:rPr>
        <w:t>法律法规</w:t>
      </w:r>
      <w:r>
        <w:rPr>
          <w:rFonts w:hint="eastAsia" w:ascii="仿宋_GB2312" w:eastAsia="仿宋_GB2312"/>
          <w:color w:val="auto"/>
          <w:sz w:val="32"/>
          <w:szCs w:val="32"/>
          <w:u w:val="single"/>
          <w:lang w:val="en-US"/>
        </w:rPr>
        <w:t>、规章）</w:t>
      </w:r>
      <w:r>
        <w:rPr>
          <w:rFonts w:hint="eastAsia" w:ascii="仿宋_GB2312" w:eastAsia="仿宋_GB2312"/>
          <w:color w:val="auto"/>
          <w:sz w:val="32"/>
          <w:szCs w:val="32"/>
          <w:lang w:val="en-US"/>
        </w:rPr>
        <w:t>第</w:t>
      </w:r>
      <w:r>
        <w:rPr>
          <w:rFonts w:hint="eastAsia" w:ascii="仿宋_GB2312" w:eastAsia="仿宋_GB2312"/>
          <w:color w:val="auto"/>
          <w:sz w:val="32"/>
          <w:szCs w:val="32"/>
          <w:u w:val="single"/>
          <w:lang w:val="en-US"/>
        </w:rPr>
        <w:t xml:space="preserve"> ××× </w:t>
      </w:r>
      <w:r>
        <w:rPr>
          <w:rFonts w:hint="eastAsia" w:ascii="仿宋_GB2312" w:eastAsia="仿宋_GB2312"/>
          <w:color w:val="auto"/>
          <w:sz w:val="32"/>
          <w:szCs w:val="32"/>
          <w:lang w:val="en-US"/>
        </w:rPr>
        <w:t>条第</w:t>
      </w:r>
      <w:r>
        <w:rPr>
          <w:rFonts w:hint="eastAsia" w:ascii="仿宋_GB2312" w:eastAsia="仿宋_GB2312"/>
          <w:color w:val="auto"/>
          <w:sz w:val="32"/>
          <w:szCs w:val="32"/>
          <w:u w:val="single"/>
          <w:lang w:val="en-US"/>
        </w:rPr>
        <w:t xml:space="preserve"> ××× </w:t>
      </w:r>
      <w:r>
        <w:rPr>
          <w:rFonts w:hint="eastAsia" w:ascii="仿宋_GB2312" w:eastAsia="仿宋_GB2312"/>
          <w:color w:val="auto"/>
          <w:sz w:val="32"/>
          <w:szCs w:val="32"/>
          <w:lang w:val="en-US"/>
        </w:rPr>
        <w:t>款第</w:t>
      </w:r>
      <w:r>
        <w:rPr>
          <w:rFonts w:hint="eastAsia" w:ascii="仿宋_GB2312" w:eastAsia="仿宋_GB2312"/>
          <w:color w:val="auto"/>
          <w:sz w:val="32"/>
          <w:szCs w:val="32"/>
          <w:u w:val="single"/>
          <w:lang w:val="en-US"/>
        </w:rPr>
        <w:t xml:space="preserve"> ××× </w:t>
      </w:r>
      <w:r>
        <w:rPr>
          <w:rFonts w:hint="eastAsia" w:ascii="仿宋_GB2312" w:eastAsia="仿宋_GB2312"/>
          <w:color w:val="auto"/>
          <w:sz w:val="32"/>
          <w:szCs w:val="32"/>
          <w:lang w:val="en-US"/>
        </w:rPr>
        <w:t>项的规定。根据</w:t>
      </w:r>
      <w:r>
        <w:rPr>
          <w:rFonts w:hint="eastAsia" w:ascii="Times New Roman" w:hAnsi="Times New Roman" w:eastAsia="仿宋_GB2312" w:cs="Times New Roman"/>
          <w:b w:val="0"/>
          <w:bCs w:val="0"/>
          <w:i w:val="0"/>
          <w:iCs w:val="0"/>
          <w:color w:val="auto"/>
          <w:sz w:val="32"/>
          <w:szCs w:val="32"/>
          <w:rtl w:val="0"/>
          <w:lang w:val="zh-CN" w:eastAsia="zh-CN"/>
        </w:rPr>
        <w:t>《中华人民共和国行政处罚法》</w:t>
      </w:r>
      <w:r>
        <w:rPr>
          <w:rFonts w:hint="eastAsia" w:ascii="Times New Roman" w:hAnsi="Times New Roman" w:eastAsia="仿宋_GB2312" w:cs="Times New Roman"/>
          <w:b w:val="0"/>
          <w:bCs w:val="0"/>
          <w:i w:val="0"/>
          <w:iCs w:val="0"/>
          <w:color w:val="auto"/>
          <w:sz w:val="32"/>
          <w:szCs w:val="32"/>
          <w:rtl w:val="0"/>
          <w:lang w:val="en-US" w:eastAsia="zh-CN"/>
        </w:rPr>
        <w:t>第五条、第六条、</w:t>
      </w:r>
      <w:r>
        <w:rPr>
          <w:rFonts w:hint="eastAsia" w:ascii="Times New Roman" w:hAnsi="Times New Roman" w:eastAsia="仿宋_GB2312" w:cs="Times New Roman"/>
          <w:b w:val="0"/>
          <w:bCs w:val="0"/>
          <w:i w:val="0"/>
          <w:iCs w:val="0"/>
          <w:color w:val="auto"/>
          <w:sz w:val="32"/>
          <w:szCs w:val="32"/>
          <w:rtl w:val="0"/>
          <w:lang w:val="zh-CN" w:eastAsia="zh-CN"/>
        </w:rPr>
        <w:t>第三十三条，《</w:t>
      </w:r>
      <w:r>
        <w:rPr>
          <w:rFonts w:hint="eastAsia" w:ascii="Times New Roman" w:hAnsi="Times New Roman" w:eastAsia="仿宋_GB2312" w:cs="Times New Roman"/>
          <w:b w:val="0"/>
          <w:bCs w:val="0"/>
          <w:i w:val="0"/>
          <w:iCs w:val="0"/>
          <w:color w:val="auto"/>
          <w:sz w:val="32"/>
          <w:szCs w:val="32"/>
          <w:rtl w:val="0"/>
          <w:lang w:val="en-US" w:eastAsia="zh-CN"/>
        </w:rPr>
        <w:t>甘肃省</w:t>
      </w:r>
      <w:r>
        <w:rPr>
          <w:rFonts w:hint="eastAsia" w:ascii="Times New Roman" w:hAnsi="Times New Roman" w:eastAsia="仿宋_GB2312" w:cs="Times New Roman"/>
          <w:b w:val="0"/>
          <w:bCs w:val="0"/>
          <w:i w:val="0"/>
          <w:iCs w:val="0"/>
          <w:color w:val="auto"/>
          <w:sz w:val="32"/>
          <w:szCs w:val="32"/>
          <w:rtl w:val="0"/>
          <w:lang w:val="zh-CN" w:eastAsia="zh-CN"/>
        </w:rPr>
        <w:t>优化营商环境条例》第</w:t>
      </w:r>
      <w:r>
        <w:rPr>
          <w:rFonts w:hint="eastAsia" w:ascii="Times New Roman" w:hAnsi="Times New Roman" w:eastAsia="仿宋_GB2312" w:cs="Times New Roman"/>
          <w:b w:val="0"/>
          <w:bCs w:val="0"/>
          <w:i w:val="0"/>
          <w:iCs w:val="0"/>
          <w:color w:val="auto"/>
          <w:sz w:val="32"/>
          <w:szCs w:val="32"/>
          <w:rtl w:val="0"/>
          <w:lang w:val="en-US" w:eastAsia="zh-CN"/>
        </w:rPr>
        <w:t>五条、第四十六条</w:t>
      </w:r>
      <w:r>
        <w:rPr>
          <w:rFonts w:hint="default" w:ascii="Times New Roman" w:hAnsi="Times New Roman" w:eastAsia="仿宋_GB2312" w:cs="Times New Roman"/>
          <w:color w:val="auto"/>
          <w:sz w:val="32"/>
          <w:szCs w:val="32"/>
          <w:lang w:val="en-US" w:eastAsia="zh-CN"/>
        </w:rPr>
        <w:t>和《兰州新区商务和市场监管领域行政执法 “观察期” 制度（试行）》</w:t>
      </w:r>
      <w:r>
        <w:rPr>
          <w:rFonts w:hint="eastAsia" w:ascii="Times New Roman" w:hAnsi="Times New Roman" w:eastAsia="仿宋_GB2312" w:cs="Times New Roman"/>
          <w:color w:val="auto"/>
          <w:sz w:val="32"/>
          <w:szCs w:val="32"/>
          <w:lang w:val="en-US" w:eastAsia="zh-CN"/>
        </w:rPr>
        <w:t>以及</w:t>
      </w:r>
      <w:r>
        <w:rPr>
          <w:rFonts w:hint="eastAsia" w:ascii="仿宋_GB2312" w:eastAsia="仿宋_GB2312"/>
          <w:color w:val="auto"/>
          <w:sz w:val="32"/>
          <w:szCs w:val="32"/>
          <w:lang w:val="en-US"/>
        </w:rPr>
        <w:t>（</w:t>
      </w:r>
      <w:r>
        <w:rPr>
          <w:rFonts w:hint="eastAsia" w:ascii="仿宋_GB2312" w:eastAsia="仿宋_GB2312"/>
          <w:color w:val="auto"/>
          <w:sz w:val="32"/>
          <w:szCs w:val="32"/>
          <w:u w:val="single"/>
          <w:lang w:val="en-US"/>
        </w:rPr>
        <w:t>相关</w:t>
      </w:r>
      <w:r>
        <w:rPr>
          <w:rFonts w:hint="eastAsia" w:ascii="仿宋_GB2312" w:eastAsia="仿宋_GB2312"/>
          <w:color w:val="auto"/>
          <w:sz w:val="32"/>
          <w:szCs w:val="32"/>
          <w:u w:val="single"/>
          <w:lang w:val="en-US" w:eastAsia="zh-CN"/>
        </w:rPr>
        <w:t>法律法规</w:t>
      </w:r>
      <w:r>
        <w:rPr>
          <w:rFonts w:hint="eastAsia" w:ascii="仿宋_GB2312" w:eastAsia="仿宋_GB2312"/>
          <w:color w:val="auto"/>
          <w:sz w:val="32"/>
          <w:szCs w:val="32"/>
          <w:u w:val="single"/>
          <w:lang w:val="en-US"/>
        </w:rPr>
        <w:t>、规章）</w:t>
      </w:r>
      <w:r>
        <w:rPr>
          <w:rFonts w:hint="eastAsia" w:ascii="仿宋_GB2312" w:eastAsia="仿宋_GB2312"/>
          <w:color w:val="auto"/>
          <w:sz w:val="32"/>
          <w:szCs w:val="32"/>
          <w:u w:val="none"/>
          <w:lang w:val="en-US" w:eastAsia="zh-CN"/>
        </w:rPr>
        <w:t>等</w:t>
      </w:r>
      <w:r>
        <w:rPr>
          <w:rFonts w:hint="default" w:ascii="Times New Roman" w:hAnsi="Times New Roman" w:eastAsia="仿宋_GB2312" w:cs="Times New Roman"/>
          <w:color w:val="auto"/>
          <w:sz w:val="32"/>
          <w:szCs w:val="32"/>
          <w:lang w:val="en-US" w:eastAsia="zh-CN"/>
        </w:rPr>
        <w:t>相关规定，</w:t>
      </w:r>
      <w:r>
        <w:rPr>
          <w:rFonts w:hint="default" w:ascii="Times New Roman" w:hAnsi="Times New Roman" w:eastAsia="仿宋_GB2312" w:cs="Times New Roman"/>
          <w:color w:val="auto"/>
          <w:sz w:val="32"/>
          <w:szCs w:val="32"/>
          <w:lang w:val="en-US"/>
        </w:rPr>
        <w:t>我局经研究决定：</w:t>
      </w:r>
    </w:p>
    <w:p w14:paraId="56CA4624">
      <w:pPr>
        <w:pStyle w:val="3"/>
        <w:keepNext w:val="0"/>
        <w:keepLines w:val="0"/>
        <w:pageBreakBefore w:val="0"/>
        <w:widowControl w:val="0"/>
        <w:tabs>
          <w:tab w:val="left" w:pos="7982"/>
        </w:tabs>
        <w:kinsoku/>
        <w:wordWrap/>
        <w:overflowPunct/>
        <w:topLinePunct w:val="0"/>
        <w:bidi w:val="0"/>
        <w:adjustRightInd/>
        <w:snapToGrid/>
        <w:spacing w:line="578" w:lineRule="exact"/>
        <w:ind w:firstLine="640" w:firstLineChars="200"/>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lang w:val="en-US"/>
        </w:rPr>
        <w:t>责令当事</w:t>
      </w:r>
      <w:r>
        <w:rPr>
          <w:rFonts w:hint="eastAsia" w:ascii="仿宋_GB2312" w:eastAsia="仿宋_GB2312"/>
          <w:color w:val="auto"/>
          <w:sz w:val="32"/>
          <w:szCs w:val="32"/>
          <w:lang w:val="en-US" w:eastAsia="zh-CN"/>
        </w:rPr>
        <w:t>人自</w:t>
      </w:r>
      <w:r>
        <w:rPr>
          <w:rFonts w:hint="eastAsia" w:ascii="仿宋_GB2312" w:eastAsia="仿宋_GB2312"/>
          <w:color w:val="auto"/>
          <w:sz w:val="32"/>
          <w:szCs w:val="32"/>
          <w:lang w:val="en-US"/>
        </w:rPr>
        <w:t>收到本</w:t>
      </w:r>
      <w:r>
        <w:rPr>
          <w:rFonts w:hint="eastAsia" w:ascii="仿宋_GB2312" w:eastAsia="仿宋_GB2312"/>
          <w:color w:val="auto"/>
          <w:sz w:val="32"/>
          <w:szCs w:val="32"/>
          <w:lang w:val="en-US" w:eastAsia="zh-CN"/>
        </w:rPr>
        <w:t>通知</w:t>
      </w:r>
      <w:r>
        <w:rPr>
          <w:rFonts w:hint="eastAsia" w:ascii="仿宋_GB2312" w:eastAsia="仿宋_GB2312"/>
          <w:color w:val="auto"/>
          <w:sz w:val="32"/>
          <w:szCs w:val="32"/>
          <w:lang w:val="en-US"/>
        </w:rPr>
        <w:t>书之日起，立即停止上述违法行为，限</w:t>
      </w:r>
      <w:r>
        <w:rPr>
          <w:rFonts w:hint="eastAsia" w:ascii="仿宋_GB2312" w:eastAsia="仿宋_GB2312"/>
          <w:color w:val="auto"/>
          <w:sz w:val="32"/>
          <w:szCs w:val="32"/>
          <w:lang w:val="en-US" w:eastAsia="zh-CN"/>
        </w:rPr>
        <w:t>当事人于</w:t>
      </w:r>
      <w:r>
        <w:rPr>
          <w:rFonts w:hint="eastAsia" w:ascii="仿宋_GB2312" w:eastAsia="仿宋_GB2312"/>
          <w:color w:val="auto"/>
          <w:sz w:val="32"/>
          <w:szCs w:val="32"/>
          <w:u w:val="single"/>
          <w:lang w:val="en-US"/>
        </w:rPr>
        <w:t>×</w:t>
      </w:r>
      <w:r>
        <w:rPr>
          <w:rFonts w:hint="eastAsia" w:ascii="仿宋_GB2312" w:eastAsia="仿宋_GB2312"/>
          <w:color w:val="auto"/>
          <w:sz w:val="32"/>
          <w:szCs w:val="32"/>
          <w:lang w:val="en-US"/>
        </w:rPr>
        <w:t>月</w:t>
      </w:r>
      <w:r>
        <w:rPr>
          <w:rFonts w:hint="eastAsia" w:ascii="仿宋_GB2312" w:eastAsia="仿宋_GB2312"/>
          <w:color w:val="auto"/>
          <w:sz w:val="32"/>
          <w:szCs w:val="32"/>
          <w:u w:val="single"/>
          <w:lang w:val="en-US"/>
        </w:rPr>
        <w:t>×</w:t>
      </w:r>
      <w:r>
        <w:rPr>
          <w:rFonts w:hint="eastAsia" w:ascii="仿宋_GB2312" w:eastAsia="仿宋_GB2312"/>
          <w:color w:val="auto"/>
          <w:sz w:val="32"/>
          <w:szCs w:val="32"/>
          <w:lang w:val="en-US"/>
        </w:rPr>
        <w:t>日前完成整改，</w:t>
      </w:r>
      <w:r>
        <w:rPr>
          <w:rFonts w:hint="eastAsia" w:ascii="仿宋_GB2312" w:eastAsia="仿宋_GB2312"/>
          <w:color w:val="auto"/>
          <w:sz w:val="32"/>
          <w:szCs w:val="32"/>
          <w:u w:val="single"/>
          <w:lang w:val="en-US"/>
        </w:rPr>
        <w:t>（说明改正需采取的整改措施或须达到的整改效果）</w:t>
      </w:r>
      <w:r>
        <w:rPr>
          <w:rFonts w:hint="eastAsia" w:ascii="仿宋_GB2312" w:eastAsia="仿宋_GB2312"/>
          <w:color w:val="auto"/>
          <w:sz w:val="32"/>
          <w:szCs w:val="32"/>
          <w:u w:val="single"/>
          <w:lang w:val="en-US" w:eastAsia="zh-CN"/>
        </w:rPr>
        <w:t xml:space="preserve">                                    </w:t>
      </w:r>
    </w:p>
    <w:p w14:paraId="37B021A5">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eastAsia="zh-CN"/>
        </w:rPr>
        <w:t xml:space="preserve">                                                         </w:t>
      </w:r>
    </w:p>
    <w:p w14:paraId="2E492F0C">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eastAsia="zh-CN"/>
        </w:rPr>
        <w:t xml:space="preserve">                                                         </w:t>
      </w:r>
    </w:p>
    <w:p w14:paraId="32435108">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eastAsia="zh-CN"/>
        </w:rPr>
        <w:t xml:space="preserve">                                                         </w:t>
      </w:r>
    </w:p>
    <w:p w14:paraId="7552BDE8">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eastAsia="zh-CN"/>
        </w:rPr>
        <w:t xml:space="preserve">                                                             </w:t>
      </w:r>
    </w:p>
    <w:p w14:paraId="08A9858C">
      <w:pPr>
        <w:pStyle w:val="3"/>
        <w:keepNext w:val="0"/>
        <w:keepLines w:val="0"/>
        <w:pageBreakBefore w:val="0"/>
        <w:widowControl w:val="0"/>
        <w:tabs>
          <w:tab w:val="left" w:pos="7982"/>
        </w:tabs>
        <w:kinsoku/>
        <w:wordWrap/>
        <w:overflowPunct/>
        <w:topLinePunct w:val="0"/>
        <w:bidi w:val="0"/>
        <w:adjustRightInd/>
        <w:snapToGrid/>
        <w:spacing w:line="578" w:lineRule="exact"/>
        <w:jc w:val="both"/>
        <w:textAlignment w:val="auto"/>
        <w:rPr>
          <w:rFonts w:hint="eastAsia" w:ascii="仿宋_GB2312" w:eastAsia="仿宋_GB2312"/>
          <w:color w:val="auto"/>
          <w:sz w:val="32"/>
          <w:szCs w:val="32"/>
          <w:u w:val="single"/>
          <w:lang w:val="en-US" w:eastAsia="zh-CN"/>
        </w:rPr>
      </w:pPr>
      <w:r>
        <w:rPr>
          <w:rFonts w:hint="eastAsia" w:ascii="仿宋_GB2312" w:eastAsia="仿宋_GB2312"/>
          <w:color w:val="auto"/>
          <w:sz w:val="32"/>
          <w:szCs w:val="32"/>
          <w:u w:val="single"/>
          <w:lang w:val="en-US" w:eastAsia="zh-CN"/>
        </w:rPr>
        <w:t xml:space="preserve">                                                         </w:t>
      </w:r>
    </w:p>
    <w:p w14:paraId="500CB126">
      <w:pPr>
        <w:pStyle w:val="3"/>
        <w:keepNext w:val="0"/>
        <w:keepLines w:val="0"/>
        <w:pageBreakBefore w:val="0"/>
        <w:widowControl w:val="0"/>
        <w:tabs>
          <w:tab w:val="left" w:pos="7982"/>
        </w:tabs>
        <w:kinsoku/>
        <w:wordWrap/>
        <w:overflowPunct/>
        <w:topLinePunct w:val="0"/>
        <w:bidi w:val="0"/>
        <w:adjustRightInd/>
        <w:snapToGrid/>
        <w:spacing w:line="578" w:lineRule="exact"/>
        <w:ind w:left="2240" w:hanging="2240" w:hangingChars="700"/>
        <w:jc w:val="both"/>
        <w:textAlignment w:val="auto"/>
        <w:rPr>
          <w:rFonts w:hint="eastAsia" w:ascii="仿宋_GB2312" w:eastAsia="仿宋_GB2312"/>
          <w:color w:val="auto"/>
          <w:sz w:val="32"/>
          <w:szCs w:val="32"/>
          <w:lang w:val="en-US"/>
        </w:rPr>
      </w:pP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lang w:val="en-US"/>
        </w:rPr>
        <w:t>。</w:t>
      </w:r>
    </w:p>
    <w:p w14:paraId="65CECF3A">
      <w:pPr>
        <w:pStyle w:val="3"/>
        <w:keepNext w:val="0"/>
        <w:keepLines w:val="0"/>
        <w:pageBreakBefore w:val="0"/>
        <w:widowControl w:val="0"/>
        <w:tabs>
          <w:tab w:val="left" w:pos="7982"/>
        </w:tabs>
        <w:kinsoku/>
        <w:wordWrap/>
        <w:overflowPunct/>
        <w:topLinePunct w:val="0"/>
        <w:bidi w:val="0"/>
        <w:adjustRightInd/>
        <w:snapToGrid/>
        <w:spacing w:line="578" w:lineRule="exact"/>
        <w:ind w:firstLine="640"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请你（单位）收到本通知书后立即停止违法行为，并在观察期内配合本局采取的说服教育、劝导示范、警示告诫、指导约谈等柔性执法工作，主动完成整改。你（单位）在观察期内的整改情况，将作为本局依法作出行政处罚决定的重要裁量依据。你（单位）应按本通知要求对自身开展全方位合法合规性核查和整改，如在执法观察期内认为已全面核查整改完毕，可主动向本局申请核查，并附具相关核查整改证明材料，本局将自收到材料的次日起五个工作日内实施核查；你（单位）未在执法观察期内主动提交书面核查整改材料的，本局将在执法观察期截止之日起五个工作日内实施核查。</w:t>
      </w:r>
    </w:p>
    <w:p w14:paraId="4B46606F">
      <w:pPr>
        <w:pStyle w:val="3"/>
        <w:keepNext w:val="0"/>
        <w:keepLines w:val="0"/>
        <w:pageBreakBefore w:val="0"/>
        <w:widowControl w:val="0"/>
        <w:tabs>
          <w:tab w:val="left" w:pos="7982"/>
        </w:tabs>
        <w:kinsoku/>
        <w:wordWrap/>
        <w:overflowPunct/>
        <w:topLinePunct w:val="0"/>
        <w:bidi w:val="0"/>
        <w:adjustRightInd/>
        <w:snapToGrid/>
        <w:spacing w:line="578" w:lineRule="exact"/>
        <w:ind w:firstLine="640" w:firstLineChars="200"/>
        <w:jc w:val="both"/>
        <w:textAlignment w:val="auto"/>
        <w:rPr>
          <w:rFonts w:hint="eastAsia" w:ascii="Times New Roman" w:hAnsi="Times New Roman" w:eastAsia="仿宋_GB2312" w:cs="Times New Roman"/>
          <w:b w:val="0"/>
          <w:bCs w:val="0"/>
          <w:i w:val="0"/>
          <w:iCs w:val="0"/>
          <w:color w:val="auto"/>
          <w:sz w:val="32"/>
          <w:szCs w:val="32"/>
          <w:rtl w:val="0"/>
          <w:lang w:val="zh-CN" w:eastAsia="zh-CN"/>
        </w:rPr>
      </w:pPr>
      <w:r>
        <w:rPr>
          <w:rFonts w:hint="eastAsia" w:ascii="仿宋_GB2312" w:eastAsia="仿宋_GB2312"/>
          <w:color w:val="auto"/>
          <w:sz w:val="32"/>
          <w:szCs w:val="32"/>
          <w:lang w:val="en-US" w:eastAsia="zh-CN"/>
        </w:rPr>
        <w:t>如对本执法观察期责令改正决定不服，可以自收到本通知书之日起六十日内向兰州新区管委会申请行政复议；也可以在六个月内依法向兰州铁路运输法院提起行政诉讼。</w:t>
      </w:r>
    </w:p>
    <w:p w14:paraId="5649FC6C">
      <w:pPr>
        <w:pStyle w:val="2"/>
        <w:rPr>
          <w:rFonts w:hint="eastAsia" w:ascii="Times New Roman" w:hAnsi="Times New Roman" w:eastAsia="仿宋_GB2312" w:cs="Times New Roman"/>
          <w:b w:val="0"/>
          <w:bCs w:val="0"/>
          <w:i w:val="0"/>
          <w:iCs w:val="0"/>
          <w:color w:val="auto"/>
          <w:sz w:val="32"/>
          <w:szCs w:val="32"/>
          <w:rtl w:val="0"/>
          <w:lang w:val="zh-CN" w:eastAsia="zh-CN"/>
        </w:rPr>
      </w:pPr>
    </w:p>
    <w:p w14:paraId="670149D3">
      <w:pPr>
        <w:rPr>
          <w:rFonts w:hint="eastAsia"/>
          <w:rtl w:val="0"/>
          <w:lang w:val="zh-CN" w:eastAsia="zh-CN"/>
        </w:rPr>
      </w:pPr>
    </w:p>
    <w:p w14:paraId="49D1B4DC">
      <w:pPr>
        <w:pStyle w:val="3"/>
        <w:keepNext w:val="0"/>
        <w:keepLines w:val="0"/>
        <w:pageBreakBefore w:val="0"/>
        <w:widowControl w:val="0"/>
        <w:kinsoku/>
        <w:wordWrap/>
        <w:overflowPunct/>
        <w:topLinePunct w:val="0"/>
        <w:bidi w:val="0"/>
        <w:adjustRightInd/>
        <w:snapToGrid/>
        <w:spacing w:line="578" w:lineRule="exact"/>
        <w:ind w:firstLine="640" w:firstLineChars="200"/>
        <w:textAlignment w:val="auto"/>
        <w:rPr>
          <w:rFonts w:ascii="宋体" w:hAnsi="宋体" w:eastAsia="宋体" w:cs="宋体"/>
          <w:sz w:val="28"/>
          <w:szCs w:val="28"/>
          <w:lang w:eastAsia="zh-CN"/>
        </w:rPr>
      </w:pPr>
      <w:r>
        <w:rPr>
          <w:rFonts w:hint="eastAsia" w:ascii="Times New Roman" w:hAnsi="Times New Roman" w:eastAsia="仿宋_GB2312" w:cs="Times New Roman"/>
          <w:b w:val="0"/>
          <w:bCs w:val="0"/>
          <w:i w:val="0"/>
          <w:iCs w:val="0"/>
          <w:color w:val="auto"/>
          <w:sz w:val="32"/>
          <w:szCs w:val="32"/>
          <w:rtl w:val="0"/>
          <w:lang w:val="zh-CN" w:eastAsia="zh-CN"/>
        </w:rPr>
        <w:t>联系人：</w:t>
      </w:r>
      <w:r>
        <w:rPr>
          <w:rFonts w:hint="eastAsia" w:ascii="宋体" w:hAnsi="宋体" w:eastAsia="宋体" w:cs="宋体"/>
          <w:sz w:val="28"/>
          <w:szCs w:val="28"/>
          <w:u w:val="single"/>
          <w:lang w:eastAsia="zh-CN"/>
        </w:rPr>
        <w:t xml:space="preserve">                </w:t>
      </w:r>
      <w:r>
        <w:rPr>
          <w:rFonts w:hint="eastAsia" w:ascii="仿宋_GB2312" w:hAnsi="仿宋_GB2312" w:eastAsia="仿宋_GB2312" w:cs="仿宋_GB2312"/>
          <w:sz w:val="32"/>
          <w:szCs w:val="32"/>
          <w:lang w:eastAsia="zh-CN"/>
        </w:rPr>
        <w:t>联</w:t>
      </w:r>
      <w:r>
        <w:rPr>
          <w:rFonts w:hint="eastAsia" w:ascii="仿宋_GB2312" w:hAnsi="仿宋_GB2312" w:eastAsia="仿宋_GB2312" w:cs="仿宋_GB2312"/>
          <w:b w:val="0"/>
          <w:bCs w:val="0"/>
          <w:i w:val="0"/>
          <w:iCs w:val="0"/>
          <w:color w:val="auto"/>
          <w:sz w:val="32"/>
          <w:szCs w:val="32"/>
          <w:rtl w:val="0"/>
          <w:lang w:val="zh-CN" w:eastAsia="zh-CN"/>
        </w:rPr>
        <w:t>系电话：</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2BE10206">
      <w:pPr>
        <w:keepNext w:val="0"/>
        <w:keepLines w:val="0"/>
        <w:pageBreakBefore w:val="0"/>
        <w:widowControl w:val="0"/>
        <w:kinsoku/>
        <w:wordWrap/>
        <w:overflowPunct/>
        <w:topLinePunct w:val="0"/>
        <w:bidi w:val="0"/>
        <w:adjustRightInd/>
        <w:snapToGrid/>
        <w:spacing w:line="578" w:lineRule="exact"/>
        <w:ind w:firstLine="640" w:firstLineChars="200"/>
        <w:textAlignment w:val="auto"/>
        <w:rPr>
          <w:rFonts w:ascii="宋体" w:hAnsi="宋体" w:cs="宋体"/>
          <w:sz w:val="28"/>
          <w:szCs w:val="28"/>
        </w:rPr>
      </w:pPr>
      <w:r>
        <w:rPr>
          <w:rFonts w:hint="eastAsia" w:ascii="仿宋_GB2312" w:hAnsi="仿宋_GB2312" w:eastAsia="仿宋_GB2312" w:cs="仿宋_GB2312"/>
          <w:sz w:val="32"/>
          <w:szCs w:val="32"/>
        </w:rPr>
        <w:t>联系地址：</w:t>
      </w:r>
      <w:r>
        <w:rPr>
          <w:rFonts w:hint="eastAsia" w:ascii="宋体" w:hAnsi="宋体" w:cs="宋体"/>
          <w:sz w:val="28"/>
          <w:szCs w:val="28"/>
          <w:u w:val="single"/>
        </w:rPr>
        <w:t xml:space="preserve">                                       </w:t>
      </w:r>
    </w:p>
    <w:p w14:paraId="249FC57D">
      <w:pPr>
        <w:pStyle w:val="2"/>
        <w:ind w:left="0" w:leftChars="0" w:firstLine="0" w:firstLineChars="0"/>
        <w:rPr>
          <w:rFonts w:hint="eastAsia"/>
          <w:lang w:val="en-US"/>
        </w:rPr>
      </w:pPr>
    </w:p>
    <w:p w14:paraId="1E17513C">
      <w:pPr>
        <w:pStyle w:val="2"/>
        <w:keepNext w:val="0"/>
        <w:keepLines w:val="0"/>
        <w:pageBreakBefore w:val="0"/>
        <w:widowControl w:val="0"/>
        <w:kinsoku/>
        <w:wordWrap/>
        <w:overflowPunct/>
        <w:topLinePunct w:val="0"/>
        <w:bidi w:val="0"/>
        <w:adjustRightInd/>
        <w:snapToGrid/>
        <w:spacing w:line="578" w:lineRule="exact"/>
        <w:textAlignment w:val="auto"/>
        <w:rPr>
          <w:rFonts w:hint="eastAsia"/>
          <w:lang w:val="en-US"/>
        </w:rPr>
      </w:pPr>
    </w:p>
    <w:p w14:paraId="4A8C18D8">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兰州新区商务和</w:t>
      </w:r>
      <w:r>
        <w:rPr>
          <w:rFonts w:hint="eastAsia" w:ascii="仿宋_GB2312" w:hAnsi="仿宋_GB2312" w:eastAsia="仿宋_GB2312" w:cs="仿宋_GB2312"/>
          <w:sz w:val="32"/>
          <w:szCs w:val="32"/>
        </w:rPr>
        <w:t>市场监督管理局</w:t>
      </w:r>
    </w:p>
    <w:p w14:paraId="1F1DCDAA">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jc w:val="center"/>
        <w:textAlignment w:val="auto"/>
        <w:rPr>
          <w:rFonts w:hint="eastAsia" w:ascii="仿宋_GB2312" w:eastAsia="仿宋_GB2312"/>
          <w:color w:val="auto"/>
          <w:sz w:val="32"/>
          <w:szCs w:val="32"/>
          <w:u w:val="single"/>
          <w:lang w:val="en-US"/>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lang w:val="en-US"/>
        </w:rPr>
        <w:t>年   月   日</w:t>
      </w:r>
    </w:p>
    <w:p w14:paraId="1CFF4895">
      <w:pPr>
        <w:keepNext w:val="0"/>
        <w:keepLines w:val="0"/>
        <w:pageBreakBefore w:val="0"/>
        <w:widowControl w:val="0"/>
        <w:kinsoku/>
        <w:wordWrap/>
        <w:overflowPunct/>
        <w:topLinePunct w:val="0"/>
        <w:bidi w:val="0"/>
        <w:adjustRightInd/>
        <w:snapToGrid/>
        <w:spacing w:line="578" w:lineRule="exact"/>
        <w:textAlignment w:val="auto"/>
        <w:rPr>
          <w:color w:val="auto"/>
        </w:rPr>
      </w:pPr>
    </w:p>
    <w:p w14:paraId="0B726056">
      <w:pPr>
        <w:pStyle w:val="2"/>
        <w:rPr>
          <w:color w:val="auto"/>
        </w:rPr>
      </w:pPr>
    </w:p>
    <w:p w14:paraId="5549DE8A"/>
    <w:p w14:paraId="52477261">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受送达人：</w:t>
      </w:r>
    </w:p>
    <w:p w14:paraId="1916A7C8">
      <w:pPr>
        <w:pStyle w:val="3"/>
        <w:keepNext w:val="0"/>
        <w:keepLines w:val="0"/>
        <w:pageBreakBefore w:val="0"/>
        <w:widowControl w:val="0"/>
        <w:tabs>
          <w:tab w:val="left" w:pos="7382"/>
          <w:tab w:val="left" w:pos="7982"/>
        </w:tabs>
        <w:kinsoku/>
        <w:wordWrap/>
        <w:overflowPunct/>
        <w:topLinePunct w:val="0"/>
        <w:bidi w:val="0"/>
        <w:adjustRightInd/>
        <w:snapToGrid/>
        <w:spacing w:line="578" w:lineRule="exact"/>
        <w:ind w:firstLine="1280" w:firstLineChars="400"/>
        <w:textAlignment w:val="auto"/>
        <w:rPr>
          <w:rFonts w:hint="eastAsia" w:ascii="宋体" w:hAnsi="宋体" w:cs="宋体"/>
          <w:sz w:val="28"/>
          <w:szCs w:val="28"/>
        </w:rPr>
      </w:pPr>
      <w:r>
        <w:rPr>
          <w:rFonts w:hint="eastAsia" w:ascii="仿宋_GB2312" w:eastAsia="仿宋_GB2312"/>
          <w:color w:val="auto"/>
          <w:sz w:val="32"/>
          <w:szCs w:val="32"/>
          <w:lang w:val="en-US" w:eastAsia="zh-CN"/>
        </w:rPr>
        <w:t>年   月   日</w:t>
      </w:r>
    </w:p>
    <w:p w14:paraId="17CDE96B">
      <w:pPr>
        <w:rPr>
          <w:rFonts w:hint="eastAsia"/>
        </w:rPr>
      </w:pPr>
    </w:p>
    <w:p w14:paraId="6FBA08B8">
      <w:pPr>
        <w:pStyle w:val="2"/>
        <w:rPr>
          <w:rFonts w:hint="eastAsia"/>
        </w:rPr>
      </w:pPr>
    </w:p>
    <w:p w14:paraId="3CD0ADB1">
      <w:pPr>
        <w:pStyle w:val="3"/>
        <w:keepNext w:val="0"/>
        <w:keepLines w:val="0"/>
        <w:pageBreakBefore w:val="0"/>
        <w:widowControl w:val="0"/>
        <w:tabs>
          <w:tab w:val="left" w:pos="7982"/>
        </w:tabs>
        <w:kinsoku/>
        <w:wordWrap/>
        <w:overflowPunct/>
        <w:topLinePunct w:val="0"/>
        <w:bidi w:val="0"/>
        <w:adjustRightInd/>
        <w:snapToGrid/>
        <w:spacing w:line="578" w:lineRule="exact"/>
        <w:jc w:val="left"/>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备注：该文书一式两份，一份送达签收人，一份存卷备查。</w:t>
      </w:r>
    </w:p>
    <w:p w14:paraId="4E1EBC30">
      <w:pPr>
        <w:keepNext w:val="0"/>
        <w:keepLines w:val="0"/>
        <w:pageBreakBefore w:val="0"/>
        <w:widowControl/>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D62FB1-6C56-4427-90F3-2CE3D6ED69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26E9C05E-1151-41E9-BB3A-98294D25679D}"/>
  </w:font>
  <w:font w:name="方正小标宋简体">
    <w:panose1 w:val="02010600010101010101"/>
    <w:charset w:val="86"/>
    <w:family w:val="auto"/>
    <w:pitch w:val="default"/>
    <w:sig w:usb0="00000001" w:usb1="080E0000" w:usb2="00000000" w:usb3="00000000" w:csb0="00040000" w:csb1="00000000"/>
    <w:embedRegular r:id="rId3" w:fontKey="{E1B5959B-38DE-4AF6-A4AA-E575116132B6}"/>
  </w:font>
  <w:font w:name="楷体_GB2312">
    <w:panose1 w:val="02010609030101010101"/>
    <w:charset w:val="86"/>
    <w:family w:val="auto"/>
    <w:pitch w:val="default"/>
    <w:sig w:usb0="00000001" w:usb1="080E0000" w:usb2="00000000" w:usb3="00000000" w:csb0="00040000" w:csb1="00000000"/>
    <w:embedRegular r:id="rId4" w:fontKey="{39472FEA-3729-40EB-A3F7-BF3B7FE63F8A}"/>
  </w:font>
  <w:font w:name="微软雅黑">
    <w:panose1 w:val="020B0503020204020204"/>
    <w:charset w:val="86"/>
    <w:family w:val="auto"/>
    <w:pitch w:val="default"/>
    <w:sig w:usb0="80000287" w:usb1="2ACF3C50" w:usb2="00000016" w:usb3="00000000" w:csb0="0004001F" w:csb1="00000000"/>
    <w:embedRegular r:id="rId5" w:fontKey="{D609DA57-C50D-4AC3-BD99-9064EEB3367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FAF60"/>
    <w:multiLevelType w:val="singleLevel"/>
    <w:tmpl w:val="C37FAF6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D3964"/>
    <w:rsid w:val="034474D5"/>
    <w:rsid w:val="15DD3964"/>
    <w:rsid w:val="1CE6015C"/>
    <w:rsid w:val="20B37242"/>
    <w:rsid w:val="2BEE5298"/>
    <w:rsid w:val="3C502627"/>
    <w:rsid w:val="3D6F3D10"/>
    <w:rsid w:val="3EB22384"/>
    <w:rsid w:val="420A0BEE"/>
    <w:rsid w:val="44EB7B9D"/>
    <w:rsid w:val="66F66D1B"/>
    <w:rsid w:val="6FC70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unhideWhenUsed/>
    <w:qFormat/>
    <w:uiPriority w:val="39"/>
    <w:pPr>
      <w:ind w:left="420" w:leftChars="200"/>
    </w:pPr>
  </w:style>
  <w:style w:type="paragraph" w:styleId="3">
    <w:name w:val="Body Text"/>
    <w:basedOn w:val="1"/>
    <w:next w:val="1"/>
    <w:semiHidden/>
    <w:qFormat/>
    <w:uiPriority w:val="0"/>
    <w:rPr>
      <w:rFonts w:ascii="仿宋" w:hAnsi="仿宋" w:eastAsia="仿宋" w:cs="仿宋"/>
      <w:sz w:val="30"/>
      <w:szCs w:val="30"/>
      <w:lang w:val="en-US" w:eastAsia="en-US"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ae4eadf0-f13c-4fc3-aee5-f996232a4a1c</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12C27B52</paraID>
      <start>84</start>
      <end>91</end>
      <status>ignored</status>
      <modifiedWord/>
      <trackRevisions>false</trackRevisions>
    </reviewItem>
    <reviewItem>
      <errorID>66d40756-7e29-4d32-9c8b-654e39826c00</errorID>
      <errorWord>法律、法规</errorWord>
      <group>L1_Word</group>
      <groupName>字词问题</groupName>
      <ability>L2_Typo</ability>
      <abilityName>字词错误</abilityName>
      <candidateList>
        <item>法律法规</item>
      </candidateList>
      <explain/>
      <paraID>16DCA985</paraID>
      <start>18</start>
      <end>22</end>
      <status>modified</status>
      <modifiedWord>法律法规</modifiedWord>
      <trackRevisions>false</trackRevisions>
    </reviewItem>
    <reviewItem>
      <errorID>7f77d400-fbf5-4b18-97ce-25ceceebdf59</errorID>
      <errorWord>法律、法规</errorWord>
      <group>L1_Word</group>
      <groupName>字词问题</groupName>
      <ability>L2_Typo</ability>
      <abilityName>字词错误</abilityName>
      <candidateList>
        <item>法律法规</item>
      </candidateList>
      <explain/>
      <paraID>4147743D</paraID>
      <start>30</start>
      <end>34</end>
      <status>modified</status>
      <modifiedWord>法律法规</modifiedWord>
      <trackRevisions>false</trackRevisions>
    </reviewItem>
    <reviewItem>
      <errorID>2ae6cca4-1727-44f2-8846-7834e4b80b6e</errorID>
      <errorWord>法律、法规</errorWord>
      <group>L1_Word</group>
      <groupName>字词问题</groupName>
      <ability>L2_Typo</ability>
      <abilityName>字词错误</abilityName>
      <candidateList>
        <item>法律法规</item>
      </candidateList>
      <explain/>
      <paraID>7AA7A852</paraID>
      <start>6</start>
      <end>10</end>
      <status>modified</status>
      <modifiedWord>法律法规</modifiedWord>
      <trackRevisions>false</trackRevisions>
    </reviewItem>
    <reviewItem>
      <errorID>a46c36c9-2838-413e-91c0-fdb886b2575b</errorID>
      <errorWord>,</errorWord>
      <group>L1_Format</group>
      <groupName>格式问题</groupName>
      <ability>L2_HalfPunc</ability>
      <abilityName>全半角检查</abilityName>
      <candidateList>
        <item>，</item>
      </candidateList>
      <explain>文本全半角错误。</explain>
      <paraID> B939057</paraID>
      <start>110</start>
      <end>111</end>
      <status>modified</status>
      <modifiedWord>，</modifiedWord>
      <trackRevisions>false</trackRevisions>
    </reviewItem>
    <reviewItem>
      <errorID>9c7e7684-2fc3-4f08-8798-15db315623ff</errorID>
      <errorWord>,</errorWord>
      <group>L1_Format</group>
      <groupName>格式问题</groupName>
      <ability>L2_HalfPunc</ability>
      <abilityName>全半角检查</abilityName>
      <candidateList>
        <item>，</item>
      </candidateList>
      <explain>文本全半角错误。</explain>
      <paraID> B939057</paraID>
      <start>120</start>
      <end>121</end>
      <status>modified</status>
      <modifiedWord>，</modifiedWord>
      <trackRevisions>false</trackRevisions>
    </reviewItem>
    <reviewItem>
      <errorID>f7855cf5-8083-4338-b2da-16b208735d75</errorID>
      <errorWord>罚救</errorWord>
      <group>L1_Word</group>
      <groupName>字词问题</groupName>
      <ability>L2_Typo</ability>
      <abilityName>字词错误</abilityName>
      <candidateList>
        <item>罚款</item>
      </candidateList>
      <explain/>
      <paraID> B939057</paraID>
      <start>122</start>
      <end>124</end>
      <status>modified</status>
      <modifiedWord>罚款</modifiedWord>
      <trackRevisions>false</trackRevisions>
    </reviewItem>
    <reviewItem>
      <errorID>25a6b636-fc24-4b34-a550-ae36d8478f7d</errorID>
      <errorWord>,</errorWord>
      <group>L1_Format</group>
      <groupName>格式问题</groupName>
      <ability>L2_HalfPunc</ability>
      <abilityName>全半角检查</abilityName>
      <candidateList>
        <item>，</item>
      </candidateList>
      <explain>文本全半角错误。</explain>
      <paraID>27B915C7</paraID>
      <start>26</start>
      <end>27</end>
      <status>modified</status>
      <modifiedWord>，</modifiedWord>
      <trackRevisions>false</trackRevisions>
    </reviewItem>
    <reviewItem>
      <errorID>f43098e4-1286-4452-a61e-354d08abdb86</errorID>
      <errorWord>，</errorWord>
      <group>L1_Word</group>
      <groupName>字词问题</groupName>
      <ability>L2_Typo</ability>
      <abilityName>字词错误</abilityName>
      <candidateList>
        <item>，以</item>
      </candidateList>
      <explain/>
      <paraID> CD149AC</paraID>
      <start>166</start>
      <end>168</end>
      <status>modified</status>
      <modifiedWord>，以</modifiedWord>
      <trackRevisions>false</trackRevisions>
    </reviewItem>
    <reviewItem>
      <errorID>b5b36242-9bd6-45cd-a7cd-7952ca86a585</errorID>
      <errorWord>（</errorWord>
      <group>L1_Punc</group>
      <groupName>标点问题</groupName>
      <ability>L2_Punc</ability>
      <abilityName>标点符号检查</abilityName>
      <candidateList>
        <item/>
      </candidateList>
      <explain>同一形式括号套用。</explain>
      <paraID> CD149AC</paraID>
      <start>198</start>
      <end>198</end>
      <status>modified</status>
      <modifiedWord/>
      <trackRevisions>false</trackRevisions>
    </reviewItem>
    <reviewItem>
      <errorID>affde61a-bd40-45f3-879f-89e73b96ce0e</errorID>
      <errorWord>(</errorWord>
      <group>L1_Punc</group>
      <groupName>标点问题</groupName>
      <ability>L2_Punc</ability>
      <abilityName>标点符号检查</abilityName>
      <candidateList/>
      <explain>同一形式括号套用。</explain>
      <paraID> CD149AC</paraID>
      <start>234</start>
      <end>235</end>
      <status>ignored</status>
      <modifiedWord/>
      <trackRevisions>false</trackRevisions>
    </reviewItem>
    <reviewItem>
      <errorID>e752713b-144d-47d1-855b-a7d31681e67b</errorID>
      <errorWord>)</errorWord>
      <group>L1_Punc</group>
      <groupName>标点问题</groupName>
      <ability>L2_Punc</ability>
      <abilityName>标点符号检查</abilityName>
      <candidateList/>
      <explain>同一形式括号套用。</explain>
      <paraID> CD149AC</paraID>
      <start>240</start>
      <end>241</end>
      <status>ignored</status>
      <modifiedWord/>
      <trackRevisions>false</trackRevisions>
    </reviewItem>
    <reviewItem>
      <errorID>5e6a463d-b4ce-4680-b414-1690f9619811</errorID>
      <errorWord>(</errorWord>
      <group>L1_Punc</group>
      <groupName>标点问题</groupName>
      <ability>L2_Punc</ability>
      <abilityName>标点符号检查</abilityName>
      <candidateList/>
      <explain>同一形式括号套用。</explain>
      <paraID> CD149AC</paraID>
      <start>258</start>
      <end>259</end>
      <status>ignored</status>
      <modifiedWord/>
      <trackRevisions>false</trackRevisions>
    </reviewItem>
    <reviewItem>
      <errorID>f5eebabc-f973-4241-981c-9b6777ba25e7</errorID>
      <errorWord>)</errorWord>
      <group>L1_Punc</group>
      <groupName>标点问题</groupName>
      <ability>L2_Punc</ability>
      <abilityName>标点符号检查</abilityName>
      <candidateList/>
      <explain>同一形式括号套用。</explain>
      <paraID> CD149AC</paraID>
      <start>264</start>
      <end>265</end>
      <status>ignored</status>
      <modifiedWord/>
      <trackRevisions>false</trackRevisions>
    </reviewItem>
    <reviewItem>
      <errorID>0cb09e87-74bb-4a19-bcee-ee73acfc5eaa</errorID>
      <errorWord>法律、法规</errorWord>
      <group>L1_Word</group>
      <groupName>字词问题</groupName>
      <ability>L2_Typo</ability>
      <abilityName>字词错误</abilityName>
      <candidateList>
        <item>法律法规</item>
      </candidateList>
      <explain/>
      <paraID> BDE0833</paraID>
      <start>26</start>
      <end>30</end>
      <status>modified</status>
      <modifiedWord>法律法规</modifiedWord>
      <trackRevisions>false</trackRevisions>
    </reviewItem>
    <reviewItem>
      <errorID>045707f1-2f3b-461d-80d7-368cb7b260a5</errorID>
      <errorWord>(</errorWord>
      <group>L1_Punc</group>
      <groupName>标点问题</groupName>
      <ability>L2_Punc</ability>
      <abilityName>标点符号检查</abilityName>
      <candidateList>
        <item/>
      </candidateList>
      <explain>同一形式括号套用。</explain>
      <paraID> BDE0833</paraID>
      <start>80</start>
      <end>81</end>
      <status>ignored</status>
      <modifiedWord/>
      <trackRevisions>false</trackRevisions>
    </reviewItem>
    <reviewItem>
      <errorID>06747bea-070a-4a6f-8fb8-dc625adf7dc2</errorID>
      <errorWord>（</errorWord>
      <group>L1_Punc</group>
      <groupName>标点问题</groupName>
      <ability>L2_Punc</ability>
      <abilityName>标点符号检查</abilityName>
      <candidateList/>
      <explain>同一形式括号套用。</explain>
      <paraID> BDE0833</paraID>
      <start>113</start>
      <end>114</end>
      <status>ignored</status>
      <modifiedWord/>
      <trackRevisions>false</trackRevisions>
    </reviewItem>
    <reviewItem>
      <errorID>150420b8-7ef9-4cd3-a8e8-0dc476cded32</errorID>
      <errorWord>）</errorWord>
      <group>L1_Punc</group>
      <groupName>标点问题</groupName>
      <ability>L2_Punc</ability>
      <abilityName>标点符号检查</abilityName>
      <candidateList/>
      <explain>同一形式括号套用。</explain>
      <paraID> BDE0833</paraID>
      <start>115</start>
      <end>116</end>
      <status>ignored</status>
      <modifiedWord/>
      <trackRevisions>false</trackRevisions>
    </reviewItem>
    <reviewItem>
      <errorID>ce54302a-dc8a-4664-a3a2-56d6db054067</errorID>
      <errorWord>)</errorWord>
      <group>L1_Punc</group>
      <groupName>标点问题</groupName>
      <ability>L2_Punc</ability>
      <abilityName>标点符号检查</abilityName>
      <candidateList/>
      <explain>同一形式括号套用。</explain>
      <paraID> BDE0833</paraID>
      <start>120</start>
      <end>121</end>
      <status>ignored</status>
      <modifiedWord/>
      <trackRevisions>false</trackRevisions>
    </reviewItem>
    <reviewItem>
      <errorID>54de83c5-a7f4-4edf-89d3-c42640acaa83</errorID>
      <errorWord>(</errorWord>
      <group>L1_Format</group>
      <groupName>格式问题</groupName>
      <ability>L2_HalfPunc</ability>
      <abilityName>全半角检查</abilityName>
      <candidateList>
        <item>（</item>
      </candidateList>
      <explain>文本全半角错误。</explain>
      <paraID>1FF28EF4</paraID>
      <start>125</start>
      <end>126</end>
      <status>modified</status>
      <modifiedWord>（</modifiedWord>
      <trackRevisions>false</trackRevisions>
    </reviewItem>
    <reviewItem>
      <errorID>d635226e-ced8-46cd-aa42-52c590c895e9</errorID>
      <errorWord>)</errorWord>
      <group>L1_Format</group>
      <groupName>格式问题</groupName>
      <ability>L2_HalfPunc</ability>
      <abilityName>全半角检查</abilityName>
      <candidateList>
        <item>）</item>
      </candidateList>
      <explain>文本全半角错误。</explain>
      <paraID>1FF28EF4</paraID>
      <start>144</start>
      <end>145</end>
      <status>modified</status>
      <modifiedWord>）</modifiedWord>
      <trackRevisions>false</trackRevisions>
    </reviewItem>
    <reviewItem>
      <errorID>0ac3c98a-9857-4ecc-ab3c-491c23d6d47b</errorID>
      <errorWord>(</errorWord>
      <group>L1_Format</group>
      <groupName>格式问题</groupName>
      <ability>L2_HalfPunc</ability>
      <abilityName>全半角检查</abilityName>
      <candidateList>
        <item>（</item>
      </candidateList>
      <explain>文本全半角错误。</explain>
      <paraID>6FACE2B0</paraID>
      <start>107</start>
      <end>108</end>
      <status>modified</status>
      <modifiedWord>（</modifiedWord>
      <trackRevisions>false</trackRevisions>
    </reviewItem>
    <reviewItem>
      <errorID>7c2d22c3-eedb-4c91-abce-ad21faa87343</errorID>
      <errorWord>)</errorWord>
      <group>L1_Format</group>
      <groupName>格式问题</groupName>
      <ability>L2_HalfPunc</ability>
      <abilityName>全半角检查</abilityName>
      <candidateList>
        <item>）</item>
      </candidateList>
      <explain>文本全半角错误。</explain>
      <paraID>6FACE2B0</paraID>
      <start>112</start>
      <end>113</end>
      <status>modified</status>
      <modifiedWord>）</modifiedWord>
      <trackRevisions>false</trackRevisions>
    </reviewItem>
    <reviewItem>
      <errorID>575d996c-66b1-4dde-b48d-747a05163a0d</errorID>
      <errorWord>(</errorWord>
      <group>L1_Format</group>
      <groupName>格式问题</groupName>
      <ability>L2_HalfPunc</ability>
      <abilityName>全半角检查</abilityName>
      <candidateList>
        <item>（</item>
      </candidateList>
      <explain>文本全半角错误。</explain>
      <paraID>  9A6BB1</paraID>
      <start>64</start>
      <end>65</end>
      <status>modified</status>
      <modifiedWord>（</modifiedWord>
      <trackRevisions>false</trackRevisions>
    </reviewItem>
    <reviewItem>
      <errorID>8ed2be5c-0282-47aa-a14b-fb972a795913</errorID>
      <errorWord>)</errorWord>
      <group>L1_Format</group>
      <groupName>格式问题</groupName>
      <ability>L2_HalfPunc</ability>
      <abilityName>全半角检查</abilityName>
      <candidateList>
        <item>）</item>
      </candidateList>
      <explain>文本全半角错误。</explain>
      <paraID>  9A6BB1</paraID>
      <start>66</start>
      <end>67</end>
      <status>modified</status>
      <modifiedWord>）</modifiedWord>
      <trackRevisions>false</trackRevisions>
    </reviewItem>
    <reviewItem>
      <errorID>9acd0284-e770-4f4b-9cc2-ba552d265de2</errorID>
      <errorWord>(</errorWord>
      <group>L1_Format</group>
      <groupName>格式问题</groupName>
      <ability>L2_HalfPunc</ability>
      <abilityName>全半角检查</abilityName>
      <candidateList>
        <item>（</item>
      </candidateList>
      <explain>文本全半角错误。</explain>
      <paraID>11872DF2</paraID>
      <start>40</start>
      <end>41</end>
      <status>modified</status>
      <modifiedWord>（</modifiedWord>
      <trackRevisions>false</trackRevisions>
    </reviewItem>
    <reviewItem>
      <errorID>c1e7f70c-d1ad-40cd-b2aa-7bc7fce95898</errorID>
      <errorWord>)</errorWord>
      <group>L1_Format</group>
      <groupName>格式问题</groupName>
      <ability>L2_HalfPunc</ability>
      <abilityName>全半角检查</abilityName>
      <candidateList>
        <item>）</item>
      </candidateList>
      <explain>文本全半角错误。</explain>
      <paraID>11872DF2</paraID>
      <start>45</start>
      <end>46</end>
      <status>modified</status>
      <modifiedWord>）</modifiedWord>
      <trackRevisions>false</trackRevisions>
    </reviewItem>
    <reviewItem>
      <errorID>da5be71a-88c0-4569-96f6-b7356aa90b7f</errorID>
      <errorWord>(</errorWord>
      <group>L1_Format</group>
      <groupName>格式问题</groupName>
      <ability>L2_HalfPunc</ability>
      <abilityName>全半角检查</abilityName>
      <candidateList>
        <item>（</item>
      </candidateList>
      <explain>文本全半角错误。</explain>
      <paraID>284824FE</paraID>
      <start>64</start>
      <end>65</end>
      <status>modified</status>
      <modifiedWord>（</modifiedWord>
      <trackRevisions>false</trackRevisions>
    </reviewItem>
    <reviewItem>
      <errorID>5eaa14d1-f888-4804-8202-7ffc2ce2b823</errorID>
      <errorWord>)</errorWord>
      <group>L1_Format</group>
      <groupName>格式问题</groupName>
      <ability>L2_HalfPunc</ability>
      <abilityName>全半角检查</abilityName>
      <candidateList>
        <item>）</item>
      </candidateList>
      <explain>文本全半角错误。</explain>
      <paraID>284824FE</paraID>
      <start>66</start>
      <end>67</end>
      <status>modified</status>
      <modifiedWord>）</modifiedWord>
      <trackRevisions>false</trackRevisions>
    </reviewItem>
    <reviewItem>
      <errorID>ab071975-18af-4e8a-b068-1a5217c6866a</errorID>
      <errorWord>,</errorWord>
      <group>L1_Format</group>
      <groupName>格式问题</groupName>
      <ability>L2_HalfPunc</ability>
      <abilityName>全半角检查</abilityName>
      <candidateList>
        <item>，</item>
      </candidateList>
      <explain>文本全半角错误。</explain>
      <paraID>6CFF5844</paraID>
      <start>77</start>
      <end>78</end>
      <status>modified</status>
      <modifiedWord>，</modifiedWord>
      <trackRevisions>false</trackRevisions>
    </reviewItem>
    <reviewItem>
      <errorID>ae6e3c50-79c1-44db-939b-c7726ec3b599</errorID>
      <errorWord>(</errorWord>
      <group>L1_Format</group>
      <groupName>格式问题</groupName>
      <ability>L2_HalfPunc</ability>
      <abilityName>全半角检查</abilityName>
      <candidateList>
        <item>（</item>
      </candidateList>
      <explain>文本全半角错误。</explain>
      <paraID>6CFF5844</paraID>
      <start>143</start>
      <end>144</end>
      <status>modified</status>
      <modifiedWord>（</modifiedWord>
      <trackRevisions>false</trackRevisions>
    </reviewItem>
    <reviewItem>
      <errorID>534e9c5b-b6ca-47f1-bb3d-004c4879aca6</errorID>
      <errorWord>)</errorWord>
      <group>L1_Format</group>
      <groupName>格式问题</groupName>
      <ability>L2_HalfPunc</ability>
      <abilityName>全半角检查</abilityName>
      <candidateList>
        <item>）</item>
      </candidateList>
      <explain>文本全半角错误。</explain>
      <paraID>6CFF5844</paraID>
      <start>146</start>
      <end>147</end>
      <status>modified</status>
      <modifiedWord>）</modifiedWord>
      <trackRevisions>false</trackRevisions>
    </reviewItem>
    <reviewItem>
      <errorID>6c3779e3-312b-4d62-b45b-6a30e22f35af</errorID>
      <errorWord>,</errorWord>
      <group>L1_Format</group>
      <groupName>格式问题</groupName>
      <ability>L2_HalfPunc</ability>
      <abilityName>全半角检查</abilityName>
      <candidateList>
        <item>，</item>
      </candidateList>
      <explain>文本全半角错误。</explain>
      <paraID> 9B4F54C</paraID>
      <start>28</start>
      <end>29</end>
      <status>modified</status>
      <modifiedWord>，</modifiedWord>
      <trackRevisions>false</trackRevisions>
    </reviewItem>
    <reviewItem>
      <errorID>48cf1c1f-1f25-413d-a2f1-1cb230e429dc</errorID>
      <errorWord>,</errorWord>
      <group>L1_Format</group>
      <groupName>格式问题</groupName>
      <ability>L2_HalfPunc</ability>
      <abilityName>全半角检查</abilityName>
      <candidateList>
        <item>，</item>
      </candidateList>
      <explain>文本全半角错误。</explain>
      <paraID>4A4016D4</paraID>
      <start>37</start>
      <end>38</end>
      <status>modified</status>
      <modifiedWord>，</modifiedWord>
      <trackRevisions>false</trackRevisions>
    </reviewItem>
    <reviewItem>
      <errorID>4ecc83e0-4f42-4efc-a8c9-23f99432ce7f</errorID>
      <errorWord>,</errorWord>
      <group>L1_Format</group>
      <groupName>格式问题</groupName>
      <ability>L2_HalfPunc</ability>
      <abilityName>全半角检查</abilityName>
      <candidateList>
        <item>，</item>
      </candidateList>
      <explain>文本全半角错误。</explain>
      <paraID>4A4016D4</paraID>
      <start>67</start>
      <end>68</end>
      <status>modified</status>
      <modifiedWord>，</modifiedWord>
      <trackRevisions>false</trackRevisions>
    </reviewItem>
    <reviewItem>
      <errorID>c77c0861-f84b-411b-99d6-34f91bb64e3d</errorID>
      <errorWord>,</errorWord>
      <group>L1_Format</group>
      <groupName>格式问题</groupName>
      <ability>L2_HalfPunc</ability>
      <abilityName>全半角检查</abilityName>
      <candidateList>
        <item>，</item>
      </candidateList>
      <explain>文本全半角错误。</explain>
      <paraID>58C374C4</paraID>
      <start>46</start>
      <end>47</end>
      <status>modified</status>
      <modifiedWord>，</modifiedWord>
      <trackRevisions>false</trackRevisions>
    </reviewItem>
    <reviewItem>
      <errorID>2b5add8e-3891-49df-8a89-58e23bab835c</errorID>
      <errorWord>,</errorWord>
      <group>L1_Format</group>
      <groupName>格式问题</groupName>
      <ability>L2_HalfPunc</ability>
      <abilityName>全半角检查</abilityName>
      <candidateList>
        <item>，</item>
      </candidateList>
      <explain>文本全半角错误。</explain>
      <paraID>58C374C4</paraID>
      <start>65</start>
      <end>66</end>
      <status>modified</status>
      <modifiedWord>，</modifiedWord>
      <trackRevisions>false</trackRevisions>
    </reviewItem>
    <reviewItem>
      <errorID>54576a23-16e1-4109-a1d4-b1570c291a88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76AE55C</paraID>
      <start>32</start>
      <end>34</end>
      <status>modified</status>
      <modifiedWord>》《</modifiedWord>
      <trackRevisions>false</trackRevisions>
    </reviewItem>
    <reviewItem>
      <errorID>6c53880c-ef25-4a85-9568-c95f51e5f494</errorID>
      <errorWord>(</errorWord>
      <group>L1_Format</group>
      <groupName>格式问题</groupName>
      <ability>L2_HalfPunc</ability>
      <abilityName>全半角检查</abilityName>
      <candidateList>
        <item>（</item>
      </candidateList>
      <explain>文本全半角错误。</explain>
      <paraID> 76AE55C</paraID>
      <start>63</start>
      <end>64</end>
      <status>modified</status>
      <modifiedWord>（</modifiedWord>
      <trackRevisions>false</trackRevisions>
    </reviewItem>
    <reviewItem>
      <errorID>367d9645-3bfc-4f42-abe1-b231ec4d4356</errorID>
      <errorWord>)</errorWord>
      <group>L1_Format</group>
      <groupName>格式问题</groupName>
      <ability>L2_HalfPunc</ability>
      <abilityName>全半角检查</abilityName>
      <candidateList>
        <item>）</item>
      </candidateList>
      <explain>文本全半角错误。</explain>
      <paraID> 76AE55C</paraID>
      <start>65</start>
      <end>66</end>
      <status>modified</status>
      <modifiedWord>）</modifiedWord>
      <trackRevisions>false</trackRevisions>
    </reviewItem>
    <reviewItem>
      <errorID>918d580a-cd61-4337-bb88-e42df7065b55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76AE55C</paraID>
      <start>66</start>
      <end>68</end>
      <status>modified</status>
      <modifiedWord>》《</modifiedWord>
      <trackRevisions>false</trackRevisions>
    </reviewItem>
    <reviewItem>
      <errorID>706a7a3c-ab19-4cb6-baab-b376465d1e70</errorID>
      <errorWord>(</errorWord>
      <group>L1_Format</group>
      <groupName>格式问题</groupName>
      <ability>L2_HalfPunc</ability>
      <abilityName>全半角检查</abilityName>
      <candidateList>
        <item>（</item>
      </candidateList>
      <explain>文本全半角错误。</explain>
      <paraID> 76AE55C</paraID>
      <start>89</start>
      <end>90</end>
      <status>modified</status>
      <modifiedWord>（</modifiedWord>
      <trackRevisions>false</trackRevisions>
    </reviewItem>
    <reviewItem>
      <errorID>6afd5e1b-192d-4680-ac2d-8bb39d099e4d</errorID>
      <errorWord>)</errorWord>
      <group>L1_Format</group>
      <groupName>格式问题</groupName>
      <ability>L2_HalfPunc</ability>
      <abilityName>全半角检查</abilityName>
      <candidateList>
        <item>）</item>
      </candidateList>
      <explain>文本全半角错误。</explain>
      <paraID> 76AE55C</paraID>
      <start>96</start>
      <end>97</end>
      <status>modified</status>
      <modifiedWord>）</modifiedWord>
      <trackRevisions>false</trackRevisions>
    </reviewItem>
    <reviewItem>
      <errorID>c542df3f-ef0d-4687-8f6a-6d6ee806ac44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76AE55C</paraID>
      <start>97</start>
      <end>99</end>
      <status>modified</status>
      <modifiedWord>》《</modifiedWord>
      <trackRevisions>false</trackRevisions>
    </reviewItem>
    <reviewItem>
      <errorID>fde7ffc6-f54c-4723-b007-fca3e887db0d</errorID>
      <errorWord>(</errorWord>
      <group>L1_Format</group>
      <groupName>格式问题</groupName>
      <ability>L2_HalfPunc</ability>
      <abilityName>全半角检查</abilityName>
      <candidateList>
        <item>（</item>
      </candidateList>
      <explain>文本全半角错误。</explain>
      <paraID> 76AE55C</paraID>
      <start>117</start>
      <end>118</end>
      <status>modified</status>
      <modifiedWord>（</modifiedWord>
      <trackRevisions>false</trackRevisions>
    </reviewItem>
    <reviewItem>
      <errorID>a2f4d4fa-3d06-4627-a287-8ad7cfdc4e5b</errorID>
      <errorWord>)</errorWord>
      <group>L1_Format</group>
      <groupName>格式问题</groupName>
      <ability>L2_HalfPunc</ability>
      <abilityName>全半角检查</abilityName>
      <candidateList>
        <item>）</item>
      </candidateList>
      <explain>文本全半角错误。</explain>
      <paraID> 76AE55C</paraID>
      <start>123</start>
      <end>124</end>
      <status>modified</status>
      <modifiedWord>）</modifiedWord>
      <trackRevisions>false</trackRevisions>
    </reviewItem>
    <reviewItem>
      <errorID>71b394ce-e6f1-439f-8607-0e5883255f23</errorID>
      <errorWord>(</errorWord>
      <group>L1_Format</group>
      <groupName>格式问题</groupName>
      <ability>L2_HalfPunc</ability>
      <abilityName>全半角检查</abilityName>
      <candidateList>
        <item>（</item>
      </candidateList>
      <explain>文本全半角错误。</explain>
      <paraID> 76AE55C</paraID>
      <start>141</start>
      <end>142</end>
      <status>modified</status>
      <modifiedWord>（</modifiedWord>
      <trackRevisions>false</trackRevisions>
    </reviewItem>
    <reviewItem>
      <errorID>283bc9fb-f595-4c01-a457-1394c05d2f69</errorID>
      <errorWord>)</errorWord>
      <group>L1_Format</group>
      <groupName>格式问题</groupName>
      <ability>L2_HalfPunc</ability>
      <abilityName>全半角检查</abilityName>
      <candidateList>
        <item>）</item>
      </candidateList>
      <explain>文本全半角错误。</explain>
      <paraID> 76AE55C</paraID>
      <start>147</start>
      <end>148</end>
      <status>modified</status>
      <modifiedWord>）</modifiedWord>
      <trackRevisions>false</trackRevisions>
    </reviewItem>
    <reviewItem>
      <errorID>7a6878a9-6755-4f2f-84df-8aa177e087cc</errorID>
      <errorWord>法律、法规</errorWord>
      <group>L1_Word</group>
      <groupName>字词问题</groupName>
      <ability>L2_Typo</ability>
      <abilityName>字词错误</abilityName>
      <candidateList>
        <item>法律法规</item>
      </candidateList>
      <explain/>
      <paraID>124EF6B2</paraID>
      <start>19</start>
      <end>23</end>
      <status>modified</status>
      <modifiedWord>法律法规</modifiedWord>
      <trackRevisions>false</trackRevisions>
    </reviewItem>
  </reviewItems>
  <config/>
</contractReview>
</file>

<file path=customXml/itemProps1.xml><?xml version="1.0" encoding="utf-8"?>
<ds:datastoreItem xmlns:ds="http://schemas.openxmlformats.org/officeDocument/2006/customXml" ds:itemID="{fd265f66-ff26-4823-91d9-64a9c333cb9d}">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4951</Words>
  <Characters>4987</Characters>
  <Lines>0</Lines>
  <Paragraphs>0</Paragraphs>
  <TotalTime>0</TotalTime>
  <ScaleCrop>false</ScaleCrop>
  <LinksUpToDate>false</LinksUpToDate>
  <CharactersWithSpaces>5031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2026-03-18T13:01:00Z</dcterms:created>
  <dc:creator>派大星的海绵宝宝</dc:creator>
  <cp:lastModifiedBy>派大星的海绵宝宝</cp:lastModifiedBy>
  <dcterms:modified xsi:type="dcterms:W3CDTF">2026-04-30T02:00:48Z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42A21722A88A428DBFAD9DB305A46AD0_11</vt:lpwstr>
  </property>
  <property fmtid="{D5CDD505-2E9C-101B-9397-08002B2CF9AE}" pid="4" name="KSOTemplateDocerSaveRecord">
    <vt:lpwstr>eyJoZGlkIjoiN2Q3ZjMwNGIyZWRmM2I3MjNjMmQ0ZWM2ZTNmMDA2YWQiLCJ1c2VySWQiOiIzMTA4NDI5NzEifQ==</vt:lpwstr>
  </property>
</Properties>
</file>