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兰州新区疾病预防控制中心</w:t>
      </w:r>
      <w:r>
        <w:rPr>
          <w:rFonts w:hint="eastAsia" w:ascii="方正小标宋简体" w:hAnsi="Times New Roman" w:eastAsia="方正小标宋简体" w:cs="Times New Roman"/>
          <w:sz w:val="44"/>
          <w:szCs w:val="44"/>
          <w:lang w:val="en-US" w:eastAsia="zh-CN"/>
        </w:rPr>
        <w:br w:type="textWrapping"/>
      </w:r>
      <w:r>
        <w:rPr>
          <w:rFonts w:hint="eastAsia" w:ascii="方正小标宋简体" w:hAnsi="Times New Roman" w:eastAsia="方正小标宋简体" w:cs="Times New Roman"/>
          <w:sz w:val="44"/>
          <w:szCs w:val="44"/>
          <w:lang w:val="en-US" w:eastAsia="zh-CN"/>
        </w:rPr>
        <w:t>部门整体自评报告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_GB2312" w:eastAsia="仿宋_GB2312"/>
          <w:sz w:val="32"/>
          <w:szCs w:val="32"/>
          <w:lang w:val="en-US" w:eastAsia="zh-CN"/>
        </w:rPr>
        <w:t>2024年</w:t>
      </w:r>
      <w:r>
        <w:rPr>
          <w:rFonts w:hint="eastAsia" w:ascii="仿宋_GB2312" w:eastAsia="仿宋_GB2312"/>
          <w:sz w:val="32"/>
          <w:szCs w:val="32"/>
        </w:rPr>
        <w:t>是实现“十四五”规划目标任务的关键一年</w:t>
      </w:r>
      <w:r>
        <w:rPr>
          <w:rFonts w:hint="eastAsia" w:ascii="仿宋_GB2312" w:eastAsia="仿宋_GB2312"/>
          <w:sz w:val="32"/>
          <w:szCs w:val="32"/>
          <w:lang w:eastAsia="zh-CN"/>
        </w:rPr>
        <w:t>。</w:t>
      </w:r>
      <w:r>
        <w:rPr>
          <w:rFonts w:hint="eastAsia" w:ascii="仿宋_GB2312" w:eastAsia="仿宋_GB2312"/>
          <w:sz w:val="32"/>
          <w:szCs w:val="32"/>
          <w:lang w:val="en-US" w:eastAsia="zh-CN"/>
        </w:rPr>
        <w:t>兰州新区疾控中心</w:t>
      </w:r>
      <w:r>
        <w:rPr>
          <w:rFonts w:hint="eastAsia" w:ascii="仿宋_GB2312" w:eastAsia="仿宋_GB2312"/>
          <w:sz w:val="32"/>
          <w:szCs w:val="32"/>
        </w:rPr>
        <w:t>在新区党工委、管委会和新区</w:t>
      </w:r>
      <w:r>
        <w:rPr>
          <w:rFonts w:hint="eastAsia" w:ascii="仿宋_GB2312" w:eastAsia="仿宋_GB2312"/>
          <w:sz w:val="32"/>
          <w:szCs w:val="32"/>
          <w:lang w:val="en-US" w:eastAsia="zh-CN"/>
        </w:rPr>
        <w:t>卫生健康委</w:t>
      </w:r>
      <w:r>
        <w:rPr>
          <w:rFonts w:hint="eastAsia" w:ascii="仿宋_GB2312" w:eastAsia="仿宋_GB2312"/>
          <w:sz w:val="32"/>
          <w:szCs w:val="32"/>
        </w:rPr>
        <w:t>的坚强领导下，以习近平新时代中国特色社会主义思想为指导，</w:t>
      </w:r>
      <w:r>
        <w:rPr>
          <w:rFonts w:hint="eastAsia" w:ascii="仿宋_GB2312" w:eastAsia="仿宋_GB2312"/>
          <w:sz w:val="32"/>
          <w:szCs w:val="32"/>
          <w:lang w:val="en-US" w:eastAsia="zh-CN"/>
        </w:rPr>
        <w:t>以建设</w:t>
      </w:r>
      <w:r>
        <w:rPr>
          <w:rFonts w:hint="eastAsia" w:ascii="仿宋_GB2312" w:eastAsia="仿宋_GB2312"/>
          <w:sz w:val="32"/>
          <w:szCs w:val="32"/>
        </w:rPr>
        <w:t>“西北领先”的国家级新区疾控中心</w:t>
      </w:r>
      <w:r>
        <w:rPr>
          <w:rFonts w:hint="eastAsia" w:ascii="仿宋_GB2312" w:eastAsia="仿宋_GB2312"/>
          <w:sz w:val="32"/>
          <w:szCs w:val="32"/>
          <w:lang w:val="en-US" w:eastAsia="zh-CN"/>
        </w:rPr>
        <w:t>为目标，</w:t>
      </w:r>
      <w:r>
        <w:rPr>
          <w:rFonts w:hint="eastAsia" w:ascii="仿宋_GB2312" w:eastAsia="仿宋_GB2312"/>
          <w:sz w:val="32"/>
          <w:szCs w:val="32"/>
        </w:rPr>
        <w:t>以</w:t>
      </w:r>
      <w:r>
        <w:rPr>
          <w:rFonts w:hint="eastAsia" w:ascii="仿宋_GB2312" w:eastAsia="仿宋_GB2312"/>
          <w:sz w:val="32"/>
          <w:szCs w:val="32"/>
          <w:lang w:val="en-US" w:eastAsia="zh-CN"/>
        </w:rPr>
        <w:t>常态化纵深推进</w:t>
      </w:r>
      <w:r>
        <w:rPr>
          <w:rFonts w:hint="eastAsia" w:ascii="仿宋_GB2312" w:eastAsia="仿宋_GB2312"/>
          <w:sz w:val="32"/>
          <w:szCs w:val="32"/>
        </w:rPr>
        <w:t>“三抓三促”</w:t>
      </w:r>
      <w:r>
        <w:rPr>
          <w:rFonts w:hint="eastAsia" w:ascii="仿宋_GB2312" w:eastAsia="仿宋_GB2312"/>
          <w:sz w:val="32"/>
          <w:szCs w:val="32"/>
          <w:lang w:val="en-US" w:eastAsia="zh-CN"/>
        </w:rPr>
        <w:t>行动</w:t>
      </w:r>
      <w:r>
        <w:rPr>
          <w:rFonts w:hint="eastAsia" w:ascii="仿宋_GB2312" w:eastAsia="仿宋_GB2312"/>
          <w:sz w:val="32"/>
          <w:szCs w:val="32"/>
        </w:rPr>
        <w:t>为统领，</w:t>
      </w:r>
      <w:r>
        <w:rPr>
          <w:rFonts w:hint="eastAsia" w:ascii="仿宋_GB2312" w:eastAsia="仿宋_GB2312"/>
          <w:sz w:val="32"/>
          <w:szCs w:val="32"/>
          <w:lang w:val="en-US" w:eastAsia="zh-CN"/>
        </w:rPr>
        <w:t>以长效化深入开展党纪学习教育为抓手，</w:t>
      </w:r>
      <w:r>
        <w:rPr>
          <w:rFonts w:hint="eastAsia" w:ascii="仿宋_GB2312" w:eastAsia="仿宋_GB2312"/>
          <w:sz w:val="32"/>
          <w:szCs w:val="32"/>
        </w:rPr>
        <w:t>紧盯</w:t>
      </w:r>
      <w:r>
        <w:rPr>
          <w:rFonts w:hint="eastAsia" w:ascii="仿宋_GB2312" w:eastAsia="仿宋_GB2312"/>
          <w:sz w:val="32"/>
          <w:szCs w:val="32"/>
          <w:lang w:val="en-US" w:eastAsia="zh-CN"/>
        </w:rPr>
        <w:t>医防融合试点建设重点任务</w:t>
      </w:r>
      <w:r>
        <w:rPr>
          <w:rFonts w:hint="eastAsia" w:ascii="仿宋_GB2312" w:eastAsia="仿宋_GB2312"/>
          <w:sz w:val="32"/>
          <w:szCs w:val="32"/>
        </w:rPr>
        <w:t>，统筹推进各项工作，全力做好疾病防控及全人群全周期的健康服务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val="0"/>
          <w:i w:val="0"/>
          <w:iCs w:val="0"/>
          <w:caps w:val="0"/>
          <w:color w:val="333333"/>
          <w:spacing w:val="0"/>
          <w:sz w:val="32"/>
          <w:szCs w:val="32"/>
          <w:shd w:val="clear" w:color="auto" w:fill="FFFFFF"/>
        </w:rPr>
      </w:pPr>
      <w:r>
        <w:rPr>
          <w:rStyle w:val="7"/>
          <w:rFonts w:hint="eastAsia" w:ascii="黑体" w:hAnsi="黑体" w:eastAsia="黑体" w:cs="黑体"/>
          <w:b w:val="0"/>
          <w:bCs w:val="0"/>
          <w:i w:val="0"/>
          <w:iCs w:val="0"/>
          <w:caps w:val="0"/>
          <w:color w:val="333333"/>
          <w:spacing w:val="0"/>
          <w:sz w:val="32"/>
          <w:szCs w:val="32"/>
          <w:shd w:val="clear" w:color="auto" w:fill="FFFFFF"/>
        </w:rPr>
        <w:t>一、202</w:t>
      </w:r>
      <w:r>
        <w:rPr>
          <w:rStyle w:val="7"/>
          <w:rFonts w:hint="eastAsia" w:ascii="黑体" w:hAnsi="黑体" w:eastAsia="黑体" w:cs="黑体"/>
          <w:b w:val="0"/>
          <w:bCs w:val="0"/>
          <w:i w:val="0"/>
          <w:iCs w:val="0"/>
          <w:caps w:val="0"/>
          <w:color w:val="333333"/>
          <w:spacing w:val="0"/>
          <w:sz w:val="32"/>
          <w:szCs w:val="32"/>
          <w:shd w:val="clear" w:color="auto" w:fill="FFFFFF"/>
          <w:lang w:val="en-US" w:eastAsia="zh-CN"/>
        </w:rPr>
        <w:t>4</w:t>
      </w:r>
      <w:r>
        <w:rPr>
          <w:rStyle w:val="7"/>
          <w:rFonts w:hint="eastAsia" w:ascii="黑体" w:hAnsi="黑体" w:eastAsia="黑体" w:cs="黑体"/>
          <w:b w:val="0"/>
          <w:bCs w:val="0"/>
          <w:i w:val="0"/>
          <w:iCs w:val="0"/>
          <w:caps w:val="0"/>
          <w:color w:val="333333"/>
          <w:spacing w:val="0"/>
          <w:sz w:val="32"/>
          <w:szCs w:val="32"/>
          <w:shd w:val="clear" w:color="auto" w:fill="FFFFFF"/>
        </w:rPr>
        <w:t>年工作总结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default" w:ascii="楷体_GB2312" w:hAnsi="楷体_GB2312" w:eastAsia="楷体_GB2312" w:cs="楷体_GB2312"/>
          <w:b w:val="0"/>
          <w:bCs w:val="0"/>
          <w:i w:val="0"/>
          <w:iCs w:val="0"/>
          <w:caps w:val="0"/>
          <w:color w:val="333333"/>
          <w:spacing w:val="0"/>
          <w:sz w:val="32"/>
          <w:szCs w:val="32"/>
          <w:shd w:val="clear" w:color="auto" w:fill="FFFFFF"/>
          <w:lang w:val="en-US" w:eastAsia="zh-CN"/>
        </w:rPr>
      </w:pPr>
      <w:r>
        <w:rPr>
          <w:rStyle w:val="7"/>
          <w:rFonts w:hint="eastAsia" w:ascii="楷体_GB2312" w:hAnsi="楷体_GB2312" w:eastAsia="楷体_GB2312" w:cs="楷体_GB2312"/>
          <w:b w:val="0"/>
          <w:bCs w:val="0"/>
          <w:i w:val="0"/>
          <w:iCs w:val="0"/>
          <w:caps w:val="0"/>
          <w:color w:val="333333"/>
          <w:spacing w:val="0"/>
          <w:sz w:val="32"/>
          <w:szCs w:val="32"/>
          <w:shd w:val="clear" w:color="auto" w:fill="FFFFFF"/>
          <w:lang w:val="en-US" w:eastAsia="zh-CN"/>
        </w:rPr>
        <w:t>（一）党建领航，把稳疾控工作前行之舵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1.强化理论学习，提高政治站位。</w:t>
      </w:r>
      <w:r>
        <w:rPr>
          <w:rFonts w:hint="eastAsia" w:ascii="仿宋_GB2312" w:eastAsia="仿宋_GB2312"/>
          <w:sz w:val="32"/>
          <w:szCs w:val="32"/>
          <w:lang w:val="en-US" w:eastAsia="zh-CN"/>
        </w:rPr>
        <w:t>深入学习宣传贯彻习近平新时代中国特色社会主义思想、党的二十大及二十届历次全会精神，进一步抓好中心党支部理论学习，强化理论武装。2024年共召开支部党员大会6次，支部书记讲党课5次，集中学习22次，党的二十届三中全会精神宣讲1次、视频培训1次、专题学习1次，交流研讨1次，习近平总书记2024年视察甘肃重要讲话重要指示精神专题学习1次，不断教育引导党员干部增强“四个意识”、坚定“四个自信”、做到“两个维护”，把正确政治方向和鲜明政治导向贯穿于理论学习全过程各方面。</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lang w:val="en-US" w:eastAsia="zh-CN"/>
        </w:rPr>
      </w:pPr>
      <w:r>
        <w:rPr>
          <w:rFonts w:hint="eastAsia" w:ascii="仿宋_GB2312" w:hAnsi="Calibri" w:eastAsia="仿宋_GB2312" w:cs="宋体"/>
          <w:b/>
          <w:bCs/>
          <w:kern w:val="2"/>
          <w:sz w:val="32"/>
          <w:szCs w:val="32"/>
          <w:lang w:val="en-US" w:eastAsia="zh-CN" w:bidi="ar-SA"/>
        </w:rPr>
        <w:t>2.加强组织建设，规范党内生活。</w:t>
      </w:r>
      <w:r>
        <w:rPr>
          <w:rFonts w:hint="eastAsia" w:ascii="仿宋_GB2312" w:eastAsia="仿宋_GB2312"/>
          <w:sz w:val="32"/>
          <w:szCs w:val="32"/>
          <w:lang w:val="en-US" w:eastAsia="zh-CN"/>
        </w:rPr>
        <w:t>严格落实民主集中、组织生活、“三会一课”等党的组织生活各项制度，2024年召开主题教育专题组织生活会1次、支委会12次，主题党日活动12次，在建党103周年组织党员前往“八路军办事处”学习革命先辈艰苦奋斗、爱国奉献精神；谈心谈话及时发现和纠正党员队伍存在的问题和不足，保持了党内生活的健康有序。规范党费缴纳，共收缴党费5412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eastAsia="仿宋_GB2312" w:cs="宋体"/>
          <w:b/>
          <w:bCs/>
          <w:kern w:val="2"/>
          <w:sz w:val="32"/>
          <w:szCs w:val="32"/>
          <w:lang w:val="en-US" w:eastAsia="zh-CN" w:bidi="ar-SA"/>
        </w:rPr>
        <w:t>3</w:t>
      </w:r>
      <w:r>
        <w:rPr>
          <w:rFonts w:hint="eastAsia" w:ascii="仿宋_GB2312" w:hAnsi="Calibri" w:eastAsia="仿宋_GB2312" w:cs="宋体"/>
          <w:b/>
          <w:bCs/>
          <w:kern w:val="2"/>
          <w:sz w:val="32"/>
          <w:szCs w:val="32"/>
          <w:lang w:val="en-US" w:eastAsia="zh-CN" w:bidi="ar-SA"/>
        </w:rPr>
        <w:t>.加强党纪教育，弘扬廉洁清风。</w:t>
      </w:r>
      <w:r>
        <w:rPr>
          <w:rFonts w:hint="eastAsia" w:ascii="仿宋_GB2312" w:hAnsi="Calibri" w:eastAsia="仿宋_GB2312" w:cs="宋体"/>
          <w:kern w:val="2"/>
          <w:sz w:val="32"/>
          <w:szCs w:val="32"/>
          <w:lang w:val="en-US" w:eastAsia="zh-CN" w:bidi="ar-SA"/>
        </w:rPr>
        <w:t>切实加强党风廉政</w:t>
      </w:r>
      <w:r>
        <w:rPr>
          <w:rFonts w:hint="eastAsia" w:ascii="仿宋_GB2312" w:eastAsia="仿宋_GB2312" w:cs="宋体"/>
          <w:kern w:val="2"/>
          <w:sz w:val="32"/>
          <w:szCs w:val="32"/>
          <w:lang w:val="en-US" w:eastAsia="zh-CN" w:bidi="ar-SA"/>
        </w:rPr>
        <w:t>和党纪</w:t>
      </w:r>
      <w:r>
        <w:rPr>
          <w:rFonts w:hint="eastAsia" w:ascii="仿宋_GB2312" w:hAnsi="Calibri" w:eastAsia="仿宋_GB2312" w:cs="宋体"/>
          <w:kern w:val="2"/>
          <w:sz w:val="32"/>
          <w:szCs w:val="32"/>
          <w:lang w:val="en-US" w:eastAsia="zh-CN" w:bidi="ar-SA"/>
        </w:rPr>
        <w:t>学习教育工作，把思想引领、党性锻炼、廉洁要求贯穿于党纪学习教育始终</w:t>
      </w:r>
      <w:r>
        <w:rPr>
          <w:rFonts w:hint="eastAsia" w:ascii="仿宋_GB2312" w:eastAsia="仿宋_GB2312" w:cs="宋体"/>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2024年共召开党纪集中学习9次，支部书记讲纪律党课1次，党纪学习教育交流研讨1次，集中约谈1次；召开党风廉政建设专题学习会议8次，推进会议4次，医疗领域腐败问题集中整治推进会议1次，群众身边不正之风和腐败问题推进会议2次；结合艾滋重点人群筛查、艾滋病宣教活动前往甘肃省未成年犯管教所、新区看守所开展党纪警示教育4次，组织观看《持续发力纵深推进》等警示教育片6次；开展工作约谈19次60人次（“春节”“十一”等节前正风肃纪约谈9次，医疗腐败问题集中约谈3次，群众身边不正之风和腐败问题集中约谈3次，整治形式主义为基层减负集中约谈1次）。持续推动正风肃纪常态长效，以优良作风树中心形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Calibri" w:eastAsia="仿宋_GB2312" w:cs="宋体"/>
          <w:b/>
          <w:bCs/>
          <w:kern w:val="2"/>
          <w:sz w:val="32"/>
          <w:szCs w:val="32"/>
          <w:lang w:val="en-US" w:eastAsia="zh-CN" w:bidi="ar-SA"/>
        </w:rPr>
        <w:t>4.加强</w:t>
      </w:r>
      <w:r>
        <w:rPr>
          <w:rFonts w:hint="eastAsia" w:ascii="仿宋_GB2312" w:eastAsia="仿宋_GB2312" w:cs="宋体"/>
          <w:b/>
          <w:bCs/>
          <w:kern w:val="2"/>
          <w:sz w:val="32"/>
          <w:szCs w:val="32"/>
          <w:lang w:val="en-US" w:eastAsia="zh-CN" w:bidi="ar-SA"/>
        </w:rPr>
        <w:t>思想建设</w:t>
      </w:r>
      <w:r>
        <w:rPr>
          <w:rFonts w:hint="eastAsia" w:ascii="仿宋_GB2312" w:hAnsi="Calibri" w:eastAsia="仿宋_GB2312" w:cs="宋体"/>
          <w:b/>
          <w:bCs/>
          <w:kern w:val="2"/>
          <w:sz w:val="32"/>
          <w:szCs w:val="32"/>
          <w:lang w:val="en-US" w:eastAsia="zh-CN" w:bidi="ar-SA"/>
        </w:rPr>
        <w:t>，坚持正确导向。</w:t>
      </w:r>
      <w:r>
        <w:rPr>
          <w:rFonts w:hint="eastAsia" w:ascii="仿宋_GB2312" w:hAnsi="仿宋_GB2312" w:eastAsia="仿宋_GB2312" w:cs="仿宋_GB2312"/>
          <w:kern w:val="2"/>
          <w:sz w:val="32"/>
          <w:szCs w:val="32"/>
          <w:lang w:val="en-US" w:eastAsia="zh-CN" w:bidi="ar-SA"/>
        </w:rPr>
        <w:t>认真落实意识形态工作责任制，制定《2024年意识形态工作重点任务清单》并全年常态化推进。2024年已安排部署意识形态工作2次，召开意识形态工作学习2次，保密教育专题会议3次，对意识形态潜在风险分析研判3次，按月排查意识形态领域风险12次，及时辨析思想文化领域突出问题，有针对性地进行引导，全力守好意识形态工作这块“责任田”。</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Calibri" w:eastAsia="仿宋_GB2312" w:cs="宋体"/>
          <w:b/>
          <w:bCs/>
          <w:kern w:val="2"/>
          <w:sz w:val="32"/>
          <w:szCs w:val="32"/>
          <w:lang w:val="en-US" w:eastAsia="zh-CN" w:bidi="ar-SA"/>
        </w:rPr>
        <w:t>5.</w:t>
      </w:r>
      <w:r>
        <w:rPr>
          <w:rFonts w:hint="eastAsia" w:ascii="仿宋_GB2312" w:eastAsia="仿宋_GB2312" w:cs="宋体"/>
          <w:b/>
          <w:bCs/>
          <w:kern w:val="2"/>
          <w:sz w:val="32"/>
          <w:szCs w:val="32"/>
          <w:lang w:val="en-US" w:eastAsia="zh-CN" w:bidi="ar-SA"/>
        </w:rPr>
        <w:t>夯实法治根基</w:t>
      </w:r>
      <w:r>
        <w:rPr>
          <w:rFonts w:hint="eastAsia" w:ascii="仿宋_GB2312" w:hAnsi="Calibri" w:eastAsia="仿宋_GB2312" w:cs="宋体"/>
          <w:b/>
          <w:bCs/>
          <w:kern w:val="2"/>
          <w:sz w:val="32"/>
          <w:szCs w:val="32"/>
          <w:lang w:val="en-US" w:eastAsia="zh-CN" w:bidi="ar-SA"/>
        </w:rPr>
        <w:t>，抓牢安全生产。</w:t>
      </w:r>
      <w:r>
        <w:rPr>
          <w:rFonts w:hint="eastAsia" w:ascii="仿宋_GB2312" w:hAnsi="仿宋_GB2312" w:eastAsia="仿宋_GB2312" w:cs="仿宋_GB2312"/>
          <w:kern w:val="2"/>
          <w:sz w:val="32"/>
          <w:szCs w:val="32"/>
          <w:lang w:val="en-US" w:eastAsia="zh-CN" w:bidi="ar-SA"/>
        </w:rPr>
        <w:t>将法治宣传、安全生产纳入党建工作总体布局，推动“党建引领+法治宣传”“党建引领+安全生产”融合发展。2024共组织召开习近平法治思想专题学习会议2次，学习《中华人民共和国传染病防治法》《中华人民共和国疫苗管理法》等10余部业务工作相关法律22次，开展法律宣传“六进”活动12次，“国家宪法日”“民法典宣传月”主题宣传活动2次；召开安全生产专题学习会议7次，实验室生物安全培训11次，邀请安全健康教育中心教官开展消防安全知识培训6次，应急演练活动5次，消防安全知识测试1次，线上参与医疗卫生机构安全生产培训4次，开展“防灾减灾日”“消防宣传月”等主题宣传活动3次，使法治建设和安全生产成为干部职工的思想和行动自觉，牢固树立安全责任重于泰山的意识。</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cs="宋体"/>
          <w:b/>
          <w:bCs/>
          <w:kern w:val="2"/>
          <w:sz w:val="32"/>
          <w:szCs w:val="32"/>
          <w:lang w:val="en-US" w:eastAsia="zh-CN" w:bidi="ar-SA"/>
        </w:rPr>
        <w:t>6.凝聚联席合力，促进区域共治。</w:t>
      </w:r>
      <w:r>
        <w:rPr>
          <w:rFonts w:hint="eastAsia" w:ascii="仿宋_GB2312" w:hAnsi="仿宋_GB2312" w:eastAsia="仿宋_GB2312" w:cs="仿宋_GB2312"/>
          <w:kern w:val="2"/>
          <w:sz w:val="32"/>
          <w:szCs w:val="32"/>
          <w:lang w:val="en-US" w:eastAsia="zh-CN" w:bidi="ar-SA"/>
        </w:rPr>
        <w:t>2024年与甘肃省引大入秦水资源利用中心、新区税务局、瑞岭社区等9家共驻共建单位召开“大党委”联席会议1次，联合开展“你我共同努力 终结结核流行”“访民问暖”等党员社区“双报到”志愿服务活动4次，覆盖瑞玲雅苑、名郡、建投时光等4个小区，累计走访特殊人群住户9户，商户1户，现场解决居民健康问题3个，受众500余人次，进一步巩固拓展了主题教育成果，使在职党员“双报到”服务真正沉入包抓网格，推动党建品牌和志愿服务工作入脑入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Style w:val="7"/>
          <w:rFonts w:hint="default" w:ascii="楷体_GB2312" w:hAnsi="楷体_GB2312" w:eastAsia="楷体_GB2312" w:cs="楷体_GB2312"/>
          <w:b w:val="0"/>
          <w:bCs w:val="0"/>
          <w:i w:val="0"/>
          <w:iCs w:val="0"/>
          <w:caps w:val="0"/>
          <w:color w:val="333333"/>
          <w:spacing w:val="0"/>
          <w:sz w:val="32"/>
          <w:szCs w:val="32"/>
          <w:shd w:val="clear" w:color="auto" w:fill="FFFFFF"/>
          <w:lang w:val="en-US" w:eastAsia="zh-CN"/>
        </w:rPr>
      </w:pPr>
      <w:r>
        <w:rPr>
          <w:rStyle w:val="7"/>
          <w:rFonts w:hint="eastAsia" w:ascii="楷体_GB2312" w:hAnsi="楷体_GB2312" w:eastAsia="楷体_GB2312" w:cs="楷体_GB2312"/>
          <w:b w:val="0"/>
          <w:bCs w:val="0"/>
          <w:i w:val="0"/>
          <w:iCs w:val="0"/>
          <w:caps w:val="0"/>
          <w:color w:val="333333"/>
          <w:spacing w:val="0"/>
          <w:sz w:val="32"/>
          <w:szCs w:val="32"/>
          <w:shd w:val="clear" w:color="auto" w:fill="FFFFFF"/>
          <w:lang w:val="en-US" w:eastAsia="zh-CN"/>
        </w:rPr>
        <w:t>（二）医防融合，筑牢生命健康安全防线</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Calibri" w:eastAsia="仿宋_GB2312" w:cs="宋体"/>
          <w:b/>
          <w:bCs/>
          <w:kern w:val="2"/>
          <w:sz w:val="32"/>
          <w:szCs w:val="32"/>
          <w:lang w:val="en-US" w:eastAsia="zh-CN" w:bidi="ar-SA"/>
        </w:rPr>
        <w:t>1.加强信息</w:t>
      </w:r>
      <w:r>
        <w:rPr>
          <w:rFonts w:hint="eastAsia" w:ascii="仿宋_GB2312" w:eastAsia="仿宋_GB2312" w:cs="宋体"/>
          <w:b/>
          <w:bCs/>
          <w:kern w:val="2"/>
          <w:sz w:val="32"/>
          <w:szCs w:val="32"/>
          <w:lang w:val="en-US" w:eastAsia="zh-CN" w:bidi="ar-SA"/>
        </w:rPr>
        <w:t>互通</w:t>
      </w:r>
      <w:r>
        <w:rPr>
          <w:rFonts w:hint="eastAsia" w:ascii="仿宋_GB2312" w:hAnsi="Calibri" w:eastAsia="仿宋_GB2312" w:cs="宋体"/>
          <w:b/>
          <w:bCs/>
          <w:kern w:val="2"/>
          <w:sz w:val="32"/>
          <w:szCs w:val="32"/>
          <w:lang w:val="en-US" w:eastAsia="zh-CN" w:bidi="ar-SA"/>
        </w:rPr>
        <w:t>，</w:t>
      </w:r>
      <w:r>
        <w:rPr>
          <w:rFonts w:hint="eastAsia" w:ascii="仿宋_GB2312" w:eastAsia="仿宋_GB2312" w:cs="宋体"/>
          <w:b/>
          <w:bCs/>
          <w:kern w:val="2"/>
          <w:sz w:val="32"/>
          <w:szCs w:val="32"/>
          <w:lang w:val="en-US" w:eastAsia="zh-CN" w:bidi="ar-SA"/>
        </w:rPr>
        <w:t>强化监测预警</w:t>
      </w:r>
      <w:r>
        <w:rPr>
          <w:rFonts w:hint="eastAsia" w:ascii="仿宋_GB2312" w:hAnsi="Calibri" w:eastAsia="仿宋_GB2312" w:cs="宋体"/>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针对传染病防控的紧迫性和复杂性，推进卫生健康部门牵头、多部门参与的重大疾病防治机制，实现关口前移。2024年与中川国际机场、海关、教育、农牧、医疗机构、社区等单位部门进行辖区传染病疫情通报和风险研判会商30次，撰写疫情分析动态12期，向各医疗机构及相关单位部门预警传染病信息22次。截至目前，新区网络直报报告法定传染病1354例，其中乙类传染病403例（新冠88例、肺结核82例、百日咳58例、猩红热39例、梅毒51例、病毒性肝炎37例、布病33例、痢疾5例、艾滋病4例、麻疹4例、淋病2例），丙类传染病950例。此外报告监测疾病水痘725例、疱疹性咽峡炎190例、尖锐湿疣7例、AFP1例、生殖器疱疹1例，新区传染病防控形势总体平稳，没有发生大的聚集性疫情，总发病率在我省处于较低水平。</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Calibri" w:eastAsia="仿宋_GB2312" w:cs="宋体"/>
          <w:b/>
          <w:bCs/>
          <w:kern w:val="2"/>
          <w:sz w:val="32"/>
          <w:szCs w:val="32"/>
          <w:lang w:val="en-US" w:eastAsia="zh-CN" w:bidi="ar-SA"/>
        </w:rPr>
        <w:t>2.加强医教协同，共织</w:t>
      </w:r>
      <w:r>
        <w:rPr>
          <w:rFonts w:hint="eastAsia" w:ascii="仿宋_GB2312" w:eastAsia="仿宋_GB2312" w:cs="宋体"/>
          <w:b/>
          <w:bCs/>
          <w:kern w:val="2"/>
          <w:sz w:val="32"/>
          <w:szCs w:val="32"/>
          <w:lang w:val="en-US" w:eastAsia="zh-CN" w:bidi="ar-SA"/>
        </w:rPr>
        <w:t>传</w:t>
      </w:r>
      <w:r>
        <w:rPr>
          <w:rFonts w:hint="eastAsia" w:ascii="仿宋_GB2312" w:hAnsi="Calibri" w:eastAsia="仿宋_GB2312" w:cs="宋体"/>
          <w:b/>
          <w:bCs/>
          <w:kern w:val="2"/>
          <w:sz w:val="32"/>
          <w:szCs w:val="32"/>
          <w:lang w:val="en-US" w:eastAsia="zh-CN" w:bidi="ar-SA"/>
        </w:rPr>
        <w:t>防网络。</w:t>
      </w:r>
      <w:r>
        <w:rPr>
          <w:rFonts w:hint="eastAsia" w:ascii="仿宋_GB2312" w:hAnsi="仿宋_GB2312" w:eastAsia="仿宋_GB2312" w:cs="仿宋_GB2312"/>
          <w:color w:val="auto"/>
          <w:sz w:val="32"/>
          <w:szCs w:val="32"/>
          <w:highlight w:val="none"/>
        </w:rPr>
        <w:t>与教育部门、学校建立因病缺课日通报机制，共同制定校园传染病防控策略和应急预案，明确双方职责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2024年共对兰州体育学校、贺阳中学等5所大中小幼学校进行因病缺课调查5次，</w:t>
      </w:r>
      <w:r>
        <w:rPr>
          <w:rFonts w:hint="eastAsia" w:ascii="仿宋_GB2312" w:hAnsi="仿宋_GB2312" w:eastAsia="仿宋_GB2312" w:cs="仿宋_GB2312"/>
          <w:color w:val="auto"/>
          <w:sz w:val="32"/>
          <w:szCs w:val="32"/>
          <w:highlight w:val="none"/>
          <w:lang w:eastAsia="zh-CN"/>
        </w:rPr>
        <w:t>对发现涉校传染病信息，第一时间向学校、幼托机构推送，指导学校托幼机构及时开展消杀等防控工作</w:t>
      </w:r>
      <w:r>
        <w:rPr>
          <w:rFonts w:hint="eastAsia" w:ascii="仿宋_GB2312" w:hAnsi="仿宋_GB2312" w:eastAsia="仿宋_GB2312" w:cs="仿宋_GB2312"/>
          <w:color w:val="auto"/>
          <w:sz w:val="32"/>
          <w:szCs w:val="32"/>
          <w:highlight w:val="none"/>
          <w:lang w:val="en-US" w:eastAsia="zh-CN"/>
        </w:rPr>
        <w:t>，保障师生健康。</w:t>
      </w:r>
      <w:r>
        <w:rPr>
          <w:rFonts w:hint="eastAsia" w:ascii="仿宋_GB2312" w:hAnsi="仿宋_GB2312" w:eastAsia="仿宋_GB2312" w:cs="仿宋_GB2312"/>
          <w:kern w:val="2"/>
          <w:sz w:val="32"/>
          <w:szCs w:val="32"/>
          <w:lang w:val="en-US" w:eastAsia="zh-CN" w:bidi="ar-SA"/>
        </w:rPr>
        <w:t>严格落实《关于进一步加强学校结核病筛查工作的通知》，本年度已累计筛查学校结核病4245人，指导西岔综合门诊部对职教园区高校学生体检筛查</w:t>
      </w:r>
      <w:r>
        <w:rPr>
          <w:rFonts w:hint="eastAsia" w:ascii="仿宋_GB2312" w:hAnsi="Calibri" w:eastAsia="仿宋_GB2312" w:cs="仿宋_GB2312"/>
          <w:kern w:val="2"/>
          <w:sz w:val="32"/>
          <w:szCs w:val="32"/>
          <w:highlight w:val="none"/>
          <w:lang w:val="en-US" w:eastAsia="zh-CN" w:bidi="ar"/>
        </w:rPr>
        <w:t>20208人</w:t>
      </w:r>
      <w:r>
        <w:rPr>
          <w:rFonts w:hint="eastAsia" w:ascii="仿宋_GB2312" w:eastAsia="仿宋_GB2312" w:cs="仿宋_GB2312"/>
          <w:kern w:val="2"/>
          <w:sz w:val="32"/>
          <w:szCs w:val="32"/>
          <w:highlight w:val="none"/>
          <w:lang w:val="en-US" w:eastAsia="zh-CN" w:bidi="ar"/>
        </w:rPr>
        <w:t>，</w:t>
      </w:r>
      <w:r>
        <w:rPr>
          <w:rFonts w:hint="eastAsia" w:ascii="仿宋_GB2312" w:hAnsi="仿宋_GB2312" w:eastAsia="仿宋_GB2312" w:cs="仿宋_GB2312"/>
          <w:kern w:val="2"/>
          <w:sz w:val="32"/>
          <w:szCs w:val="32"/>
          <w:lang w:val="en-US" w:eastAsia="zh-CN" w:bidi="ar-SA"/>
        </w:rPr>
        <w:t>累计推送学生结核病信息15例。</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Calibri" w:eastAsia="仿宋_GB2312" w:cs="宋体"/>
          <w:b/>
          <w:bCs/>
          <w:kern w:val="2"/>
          <w:sz w:val="32"/>
          <w:szCs w:val="32"/>
          <w:lang w:val="en-US" w:eastAsia="zh-CN" w:bidi="ar-SA"/>
        </w:rPr>
        <w:t>3.加强医牧共管，助力乡村振兴</w:t>
      </w:r>
      <w:r>
        <w:rPr>
          <w:rFonts w:hint="eastAsia" w:ascii="仿宋_GB2312" w:eastAsia="仿宋_GB2312" w:cs="宋体"/>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针对人畜共患传染病，与农牧部门建立信息通报机制，共同制定筛查策略和防控措施，2024年与农牧部门专家一同深入中川、上川等4镇部分企业、养殖户家庭、现场筛查点调研人畜共患病情况4次，对新区16个村社联合开展包虫病、布病筛查</w:t>
      </w:r>
      <w:r>
        <w:rPr>
          <w:rFonts w:hint="eastAsia" w:ascii="仿宋_GB2312" w:hAnsi="仿宋_GB2312" w:eastAsia="仿宋_GB2312" w:cs="仿宋_GB2312"/>
          <w:color w:val="auto"/>
          <w:sz w:val="32"/>
          <w:szCs w:val="32"/>
          <w:highlight w:val="none"/>
          <w:lang w:val="en-US" w:eastAsia="zh-CN"/>
        </w:rPr>
        <w:t>685</w:t>
      </w:r>
      <w:r>
        <w:rPr>
          <w:rFonts w:hint="eastAsia" w:ascii="仿宋_GB2312" w:hAnsi="仿宋_GB2312" w:eastAsia="仿宋_GB2312" w:cs="仿宋_GB2312"/>
          <w:color w:val="auto"/>
          <w:sz w:val="32"/>
          <w:szCs w:val="32"/>
          <w:highlight w:val="none"/>
        </w:rPr>
        <w:t>人次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初筛布病阳性52</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lang w:val="en-US" w:eastAsia="zh-CN"/>
        </w:rPr>
        <w:t>包虫病阳性0人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现有既往</w:t>
      </w:r>
      <w:r>
        <w:rPr>
          <w:rFonts w:hint="eastAsia" w:ascii="仿宋_GB2312" w:hAnsi="仿宋_GB2312" w:eastAsia="仿宋_GB2312" w:cs="仿宋_GB2312"/>
          <w:color w:val="auto"/>
          <w:sz w:val="32"/>
          <w:szCs w:val="32"/>
          <w:highlight w:val="none"/>
          <w:lang w:eastAsia="zh-CN"/>
        </w:rPr>
        <w:t>包虫病患者10例），全部由基层医疗机构负责督促转诊至定点医院进一步诊断治疗，共同巩固脱贫基础，助力乡村振兴。</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宋体"/>
          <w:b/>
          <w:bCs/>
          <w:kern w:val="2"/>
          <w:sz w:val="32"/>
          <w:szCs w:val="32"/>
          <w:lang w:val="en-US" w:eastAsia="zh-CN" w:bidi="ar-SA"/>
        </w:rPr>
        <w:t>4.加强医防融合，</w:t>
      </w:r>
      <w:r>
        <w:rPr>
          <w:rFonts w:hint="eastAsia" w:ascii="仿宋_GB2312" w:eastAsia="仿宋_GB2312" w:cs="宋体"/>
          <w:b/>
          <w:bCs/>
          <w:kern w:val="2"/>
          <w:sz w:val="32"/>
          <w:szCs w:val="32"/>
          <w:lang w:val="en-US" w:eastAsia="zh-CN" w:bidi="ar-SA"/>
        </w:rPr>
        <w:t>促进艾滋救治</w:t>
      </w:r>
      <w:r>
        <w:rPr>
          <w:rFonts w:hint="eastAsia" w:ascii="仿宋_GB2312" w:hAnsi="Calibri" w:eastAsia="仿宋_GB2312" w:cs="宋体"/>
          <w:b/>
          <w:bCs/>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依托医防融合推进艾滋病综合防治，已组织第三方干预小组对新区娱乐场所开展干预宣传3次，干预辖区女性工作者504人、男同50人，开展高危行为咨询和检测工作580人次，联合公安部门、医疗机构开展HIV及性病筛查4.1万人。指导新区第一人民医院开展艾滋病定点治疗工作，累计VCT完成228人。</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val="en-US" w:eastAsia="zh-CN"/>
        </w:rPr>
        <w:t>5.加强</w:t>
      </w:r>
      <w:r>
        <w:rPr>
          <w:rFonts w:hint="eastAsia" w:ascii="仿宋_GB2312" w:eastAsia="仿宋_GB2312"/>
          <w:b/>
          <w:bCs/>
          <w:sz w:val="32"/>
          <w:szCs w:val="32"/>
          <w:highlight w:val="none"/>
        </w:rPr>
        <w:t>培训指导</w:t>
      </w:r>
      <w:r>
        <w:rPr>
          <w:rFonts w:hint="eastAsia" w:ascii="仿宋_GB2312" w:eastAsia="仿宋_GB2312"/>
          <w:b/>
          <w:bCs/>
          <w:sz w:val="32"/>
          <w:szCs w:val="32"/>
          <w:highlight w:val="none"/>
          <w:lang w:eastAsia="zh-CN"/>
        </w:rPr>
        <w:t>，</w:t>
      </w:r>
      <w:r>
        <w:rPr>
          <w:rFonts w:hint="eastAsia" w:ascii="仿宋_GB2312" w:eastAsia="仿宋_GB2312"/>
          <w:b/>
          <w:bCs/>
          <w:sz w:val="32"/>
          <w:szCs w:val="32"/>
          <w:highlight w:val="none"/>
          <w:lang w:val="en-US" w:eastAsia="zh-CN"/>
        </w:rPr>
        <w:t>及时流调溯源</w:t>
      </w:r>
      <w:r>
        <w:rPr>
          <w:rFonts w:hint="eastAsia" w:ascii="仿宋_GB2312" w:eastAsia="仿宋_GB2312"/>
          <w:b/>
          <w:bCs/>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对辖区各医疗机构开展结核病、猴痘、麻疹、丙肝、艾滋病、布病等常见传染病业务知识培训10场次，猴痘疫情处置、突发公共卫生事件应急演练2次，督导4次，参训医务人员750余人；对1例新冠重症、1例包虫病、4例麻疹、33例布病患者及时流调并上报流调报告和处置意见，对所有布病、结核、艾滋感染者电话随访共计调查551例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Style w:val="7"/>
          <w:rFonts w:hint="default"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pPr>
      <w:r>
        <w:rPr>
          <w:rStyle w:val="7"/>
          <w:rFonts w:hint="eastAsia"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t>（三）暖心服务，织密公共卫生防护网络</w:t>
      </w:r>
    </w:p>
    <w:p>
      <w:pPr>
        <w:spacing w:line="560" w:lineRule="exact"/>
        <w:ind w:firstLine="643" w:firstLineChars="200"/>
        <w:rPr>
          <w:rFonts w:hint="default" w:ascii="仿宋_GB2312" w:eastAsia="仿宋_GB2312" w:cs="宋体"/>
          <w:kern w:val="2"/>
          <w:sz w:val="32"/>
          <w:szCs w:val="32"/>
          <w:lang w:val="en-US" w:eastAsia="zh-CN" w:bidi="ar-SA"/>
        </w:rPr>
      </w:pPr>
      <w:r>
        <w:rPr>
          <w:rFonts w:hint="eastAsia" w:ascii="仿宋_GB2312" w:eastAsia="仿宋_GB2312" w:cs="宋体"/>
          <w:b/>
          <w:bCs/>
          <w:kern w:val="2"/>
          <w:sz w:val="32"/>
          <w:szCs w:val="32"/>
          <w:lang w:val="en-US" w:eastAsia="zh-CN" w:bidi="ar-SA"/>
        </w:rPr>
        <w:t>1.强化</w:t>
      </w:r>
      <w:r>
        <w:rPr>
          <w:rFonts w:hint="eastAsia" w:ascii="仿宋_GB2312" w:hAnsi="Calibri" w:eastAsia="仿宋_GB2312" w:cs="宋体"/>
          <w:b/>
          <w:bCs/>
          <w:kern w:val="2"/>
          <w:sz w:val="32"/>
          <w:szCs w:val="32"/>
          <w:lang w:val="en-US" w:eastAsia="zh-CN" w:bidi="ar-SA"/>
        </w:rPr>
        <w:t>慢病</w:t>
      </w:r>
      <w:r>
        <w:rPr>
          <w:rFonts w:hint="eastAsia" w:ascii="仿宋_GB2312" w:eastAsia="仿宋_GB2312" w:cs="宋体"/>
          <w:b/>
          <w:bCs/>
          <w:kern w:val="2"/>
          <w:sz w:val="32"/>
          <w:szCs w:val="32"/>
          <w:lang w:val="en-US" w:eastAsia="zh-CN" w:bidi="ar-SA"/>
        </w:rPr>
        <w:t>防控，提升管理质效</w:t>
      </w:r>
      <w:r>
        <w:rPr>
          <w:rFonts w:hint="eastAsia" w:ascii="仿宋_GB2312" w:hAnsi="Calibri" w:eastAsia="仿宋_GB2312" w:cs="宋体"/>
          <w:b/>
          <w:bCs/>
          <w:kern w:val="2"/>
          <w:sz w:val="32"/>
          <w:szCs w:val="32"/>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eastAsia="仿宋_GB2312"/>
          <w:sz w:val="32"/>
          <w:szCs w:val="32"/>
          <w:lang w:val="en-US" w:eastAsia="zh-CN"/>
        </w:rPr>
        <w:t>联合新区第一人民医院组织专家对各医疗机构血压、血糖控制不满意的患者进行义诊和健康知识宣讲3次，</w:t>
      </w:r>
      <w:r>
        <w:rPr>
          <w:rFonts w:hint="eastAsia" w:ascii="仿宋_GB2312" w:eastAsia="仿宋_GB2312" w:cs="宋体"/>
          <w:kern w:val="2"/>
          <w:sz w:val="32"/>
          <w:szCs w:val="32"/>
          <w:lang w:val="en-US" w:eastAsia="zh-CN" w:bidi="ar-SA"/>
        </w:rPr>
        <w:t>组织开展慢性病患者管理培训</w:t>
      </w:r>
      <w:r>
        <w:rPr>
          <w:rFonts w:hint="default" w:ascii="仿宋_GB2312" w:eastAsia="仿宋_GB2312" w:cs="宋体"/>
          <w:kern w:val="2"/>
          <w:sz w:val="32"/>
          <w:szCs w:val="32"/>
          <w:lang w:eastAsia="zh-CN" w:bidi="ar-SA"/>
        </w:rPr>
        <w:t>2</w:t>
      </w:r>
      <w:r>
        <w:rPr>
          <w:rFonts w:hint="eastAsia" w:ascii="仿宋_GB2312" w:eastAsia="仿宋_GB2312" w:cs="宋体"/>
          <w:kern w:val="2"/>
          <w:sz w:val="32"/>
          <w:szCs w:val="32"/>
          <w:lang w:val="en-US" w:eastAsia="zh-CN" w:bidi="ar-SA"/>
        </w:rPr>
        <w:t>次，邀请省级专家开展</w:t>
      </w:r>
      <w:r>
        <w:rPr>
          <w:rFonts w:hint="eastAsia" w:ascii="仿宋_GB2312" w:hAnsi="Calibri" w:eastAsia="仿宋_GB2312" w:cs="宋体"/>
          <w:kern w:val="2"/>
          <w:sz w:val="32"/>
          <w:szCs w:val="32"/>
          <w:lang w:val="en-US" w:eastAsia="zh-CN" w:bidi="ar-SA"/>
        </w:rPr>
        <w:t>慢性病管理督导检查</w:t>
      </w:r>
      <w:r>
        <w:rPr>
          <w:rFonts w:hint="eastAsia" w:ascii="仿宋_GB2312" w:eastAsia="仿宋_GB2312" w:cs="宋体"/>
          <w:kern w:val="2"/>
          <w:sz w:val="32"/>
          <w:szCs w:val="32"/>
          <w:lang w:val="en-US" w:eastAsia="zh-CN" w:bidi="ar-SA"/>
        </w:rPr>
        <w:t>4次</w:t>
      </w:r>
      <w:r>
        <w:rPr>
          <w:rFonts w:hint="eastAsia" w:ascii="仿宋_GB2312" w:hAnsi="Calibri" w:eastAsia="仿宋_GB2312" w:cs="宋体"/>
          <w:kern w:val="2"/>
          <w:sz w:val="32"/>
          <w:szCs w:val="32"/>
          <w:lang w:val="en-US" w:eastAsia="zh-CN" w:bidi="ar-SA"/>
        </w:rPr>
        <w:t>，</w:t>
      </w:r>
      <w:r>
        <w:rPr>
          <w:rFonts w:hint="eastAsia" w:ascii="仿宋_GB2312" w:eastAsia="仿宋_GB2312" w:cs="宋体"/>
          <w:kern w:val="2"/>
          <w:sz w:val="32"/>
          <w:szCs w:val="32"/>
          <w:lang w:val="en-US" w:eastAsia="zh-CN" w:bidi="ar-SA"/>
        </w:rPr>
        <w:t>手把手指导落实整改。截至目前，新区管理高血压患者26194人、糖尿病患者6241人，全人群管理率分别为39.55%和24.48%（按32.85万人口计算），管理65岁及以上老年人高血压患者13905人、糖尿病患者2950人，管理率分别为88.60%和58.37%（按2.66万人口计算）。截至10月底，慢阻肺筛查18939人，确诊557人；脑卒中筛查18521人，确诊1195人。</w:t>
      </w:r>
    </w:p>
    <w:p>
      <w:pPr>
        <w:spacing w:line="560" w:lineRule="exact"/>
        <w:ind w:firstLine="643" w:firstLineChars="200"/>
        <w:rPr>
          <w:rFonts w:hint="default" w:ascii="仿宋_GB2312" w:hAnsi="Calibri" w:eastAsia="仿宋_GB2312" w:cs="宋体"/>
          <w:b w:val="0"/>
          <w:bCs w:val="0"/>
          <w:kern w:val="2"/>
          <w:sz w:val="32"/>
          <w:szCs w:val="32"/>
          <w:lang w:val="en-US" w:eastAsia="zh-CN" w:bidi="ar-SA"/>
        </w:rPr>
      </w:pPr>
      <w:r>
        <w:rPr>
          <w:rFonts w:hint="eastAsia" w:ascii="仿宋_GB2312" w:eastAsia="仿宋_GB2312" w:cs="宋体"/>
          <w:b/>
          <w:bCs/>
          <w:kern w:val="2"/>
          <w:sz w:val="32"/>
          <w:szCs w:val="32"/>
          <w:lang w:val="en-US" w:eastAsia="zh-CN" w:bidi="ar-SA"/>
        </w:rPr>
        <w:t>2.强化</w:t>
      </w:r>
      <w:r>
        <w:rPr>
          <w:rFonts w:hint="eastAsia" w:ascii="仿宋_GB2312" w:hAnsi="Calibri" w:eastAsia="仿宋_GB2312" w:cs="宋体"/>
          <w:b/>
          <w:bCs/>
          <w:kern w:val="2"/>
          <w:sz w:val="32"/>
          <w:szCs w:val="32"/>
          <w:lang w:val="en-US" w:eastAsia="zh-CN" w:bidi="ar-SA"/>
        </w:rPr>
        <w:t>重精管理</w:t>
      </w:r>
      <w:r>
        <w:rPr>
          <w:rFonts w:hint="eastAsia" w:ascii="仿宋_GB2312" w:eastAsia="仿宋_GB2312" w:cs="宋体"/>
          <w:b/>
          <w:bCs/>
          <w:kern w:val="2"/>
          <w:sz w:val="32"/>
          <w:szCs w:val="32"/>
          <w:lang w:val="en-US" w:eastAsia="zh-CN" w:bidi="ar-SA"/>
        </w:rPr>
        <w:t>，筑牢稳定基石</w:t>
      </w:r>
      <w:r>
        <w:rPr>
          <w:rFonts w:hint="eastAsia" w:ascii="仿宋_GB2312" w:hAnsi="Calibri" w:eastAsia="仿宋_GB2312" w:cs="宋体"/>
          <w:b/>
          <w:bCs/>
          <w:kern w:val="2"/>
          <w:sz w:val="32"/>
          <w:szCs w:val="32"/>
          <w:lang w:val="en-US" w:eastAsia="zh-CN" w:bidi="ar-SA"/>
        </w:rPr>
        <w:t>。</w:t>
      </w:r>
      <w:r>
        <w:rPr>
          <w:rFonts w:hint="eastAsia" w:ascii="仿宋_GB2312" w:eastAsia="仿宋_GB2312" w:cs="宋体"/>
          <w:b w:val="0"/>
          <w:bCs w:val="0"/>
          <w:kern w:val="2"/>
          <w:sz w:val="32"/>
          <w:szCs w:val="32"/>
          <w:lang w:val="en-US" w:eastAsia="zh-CN" w:bidi="ar-SA"/>
        </w:rPr>
        <w:t>与新区公安对接交换新区重精患者信息，</w:t>
      </w:r>
      <w:r>
        <w:rPr>
          <w:rFonts w:hint="eastAsia" w:ascii="仿宋_GB2312" w:eastAsia="仿宋_GB2312" w:cs="宋体"/>
          <w:kern w:val="2"/>
          <w:sz w:val="32"/>
          <w:szCs w:val="32"/>
          <w:lang w:val="en-US" w:eastAsia="zh-CN" w:bidi="ar-SA"/>
        </w:rPr>
        <w:t>集中排查疑似精神障碍患者108人（确诊37人），组织开展重精患者管理康复培训</w:t>
      </w:r>
      <w:r>
        <w:rPr>
          <w:rFonts w:hint="default" w:ascii="仿宋_GB2312" w:eastAsia="仿宋_GB2312" w:cs="宋体"/>
          <w:kern w:val="2"/>
          <w:sz w:val="32"/>
          <w:szCs w:val="32"/>
          <w:lang w:eastAsia="zh-CN" w:bidi="ar-SA"/>
        </w:rPr>
        <w:t>2</w:t>
      </w:r>
      <w:r>
        <w:rPr>
          <w:rFonts w:hint="eastAsia" w:ascii="仿宋_GB2312" w:eastAsia="仿宋_GB2312" w:cs="宋体"/>
          <w:kern w:val="2"/>
          <w:sz w:val="32"/>
          <w:szCs w:val="32"/>
          <w:lang w:val="en-US" w:eastAsia="zh-CN" w:bidi="ar-SA"/>
        </w:rPr>
        <w:t>次，培训300人次，开展重精项目</w:t>
      </w:r>
      <w:r>
        <w:rPr>
          <w:rFonts w:hint="eastAsia" w:ascii="仿宋_GB2312" w:hAnsi="Calibri" w:eastAsia="仿宋_GB2312" w:cs="宋体"/>
          <w:kern w:val="2"/>
          <w:sz w:val="32"/>
          <w:szCs w:val="32"/>
          <w:lang w:val="en-US" w:eastAsia="zh-CN" w:bidi="ar-SA"/>
        </w:rPr>
        <w:t>督导检查</w:t>
      </w:r>
      <w:r>
        <w:rPr>
          <w:rFonts w:hint="eastAsia" w:ascii="仿宋_GB2312" w:eastAsia="仿宋_GB2312" w:cs="宋体"/>
          <w:kern w:val="2"/>
          <w:sz w:val="32"/>
          <w:szCs w:val="32"/>
          <w:lang w:val="en-US" w:eastAsia="zh-CN" w:bidi="ar-SA"/>
        </w:rPr>
        <w:t>4次</w:t>
      </w:r>
      <w:r>
        <w:rPr>
          <w:rFonts w:hint="eastAsia" w:ascii="仿宋_GB2312" w:hAnsi="Calibri" w:eastAsia="仿宋_GB2312" w:cs="宋体"/>
          <w:kern w:val="2"/>
          <w:sz w:val="32"/>
          <w:szCs w:val="32"/>
          <w:lang w:val="en-US" w:eastAsia="zh-CN" w:bidi="ar-SA"/>
        </w:rPr>
        <w:t>，当场下达督导意见并上报</w:t>
      </w:r>
      <w:r>
        <w:rPr>
          <w:rFonts w:hint="eastAsia" w:ascii="仿宋_GB2312" w:eastAsia="仿宋_GB2312" w:cs="宋体"/>
          <w:kern w:val="2"/>
          <w:sz w:val="32"/>
          <w:szCs w:val="32"/>
          <w:lang w:val="en-US" w:eastAsia="zh-CN" w:bidi="ar-SA"/>
        </w:rPr>
        <w:t>督导</w:t>
      </w:r>
      <w:r>
        <w:rPr>
          <w:rFonts w:hint="eastAsia" w:ascii="仿宋_GB2312" w:hAnsi="Calibri" w:eastAsia="仿宋_GB2312" w:cs="宋体"/>
          <w:kern w:val="2"/>
          <w:sz w:val="32"/>
          <w:szCs w:val="32"/>
          <w:lang w:val="en-US" w:eastAsia="zh-CN" w:bidi="ar-SA"/>
        </w:rPr>
        <w:t>报告</w:t>
      </w:r>
      <w:r>
        <w:rPr>
          <w:rFonts w:hint="eastAsia" w:ascii="仿宋_GB2312" w:eastAsia="仿宋_GB2312" w:cs="宋体"/>
          <w:kern w:val="2"/>
          <w:sz w:val="32"/>
          <w:szCs w:val="32"/>
          <w:lang w:val="en-US" w:eastAsia="zh-CN" w:bidi="ar-SA"/>
        </w:rPr>
        <w:t>。</w:t>
      </w:r>
      <w:r>
        <w:rPr>
          <w:rFonts w:hint="eastAsia" w:ascii="仿宋_GB2312" w:hAnsi="Calibri" w:eastAsia="仿宋_GB2312" w:cs="宋体"/>
          <w:b w:val="0"/>
          <w:bCs w:val="0"/>
          <w:kern w:val="2"/>
          <w:sz w:val="32"/>
          <w:szCs w:val="32"/>
          <w:lang w:val="en-US" w:eastAsia="zh-CN" w:bidi="ar-SA"/>
        </w:rPr>
        <w:t>截至</w:t>
      </w:r>
      <w:r>
        <w:rPr>
          <w:rFonts w:hint="eastAsia" w:ascii="仿宋_GB2312" w:eastAsia="仿宋_GB2312" w:cs="宋体"/>
          <w:b w:val="0"/>
          <w:bCs w:val="0"/>
          <w:kern w:val="2"/>
          <w:sz w:val="32"/>
          <w:szCs w:val="32"/>
          <w:lang w:val="en-US" w:eastAsia="zh-CN" w:bidi="ar-SA"/>
        </w:rPr>
        <w:t>目前</w:t>
      </w:r>
      <w:r>
        <w:rPr>
          <w:rFonts w:hint="eastAsia" w:ascii="仿宋_GB2312" w:hAnsi="Calibri" w:eastAsia="仿宋_GB2312" w:cs="宋体"/>
          <w:b w:val="0"/>
          <w:bCs w:val="0"/>
          <w:kern w:val="2"/>
          <w:sz w:val="32"/>
          <w:szCs w:val="32"/>
          <w:lang w:val="en-US" w:eastAsia="zh-CN" w:bidi="ar-SA"/>
        </w:rPr>
        <w:t>，新区累计建档患者1</w:t>
      </w:r>
      <w:r>
        <w:rPr>
          <w:rFonts w:hint="default" w:ascii="仿宋_GB2312" w:eastAsia="仿宋_GB2312" w:cs="宋体"/>
          <w:b w:val="0"/>
          <w:bCs w:val="0"/>
          <w:kern w:val="2"/>
          <w:sz w:val="32"/>
          <w:szCs w:val="32"/>
          <w:lang w:eastAsia="zh-CN" w:bidi="ar-SA"/>
        </w:rPr>
        <w:t>20</w:t>
      </w:r>
      <w:r>
        <w:rPr>
          <w:rFonts w:hint="eastAsia" w:ascii="仿宋_GB2312" w:eastAsia="仿宋_GB2312" w:cs="宋体"/>
          <w:b w:val="0"/>
          <w:bCs w:val="0"/>
          <w:kern w:val="2"/>
          <w:sz w:val="32"/>
          <w:szCs w:val="32"/>
          <w:lang w:val="en-US" w:eastAsia="zh-CN" w:bidi="ar-SA"/>
        </w:rPr>
        <w:t>4</w:t>
      </w:r>
      <w:r>
        <w:rPr>
          <w:rFonts w:hint="eastAsia" w:ascii="仿宋_GB2312" w:hAnsi="Calibri" w:eastAsia="仿宋_GB2312" w:cs="宋体"/>
          <w:b w:val="0"/>
          <w:bCs w:val="0"/>
          <w:kern w:val="2"/>
          <w:sz w:val="32"/>
          <w:szCs w:val="32"/>
          <w:lang w:val="en-US" w:eastAsia="zh-CN" w:bidi="ar-SA"/>
        </w:rPr>
        <w:t>人，死亡1</w:t>
      </w:r>
      <w:r>
        <w:rPr>
          <w:rFonts w:hint="default" w:ascii="仿宋_GB2312" w:eastAsia="仿宋_GB2312" w:cs="宋体"/>
          <w:b w:val="0"/>
          <w:bCs w:val="0"/>
          <w:kern w:val="2"/>
          <w:sz w:val="32"/>
          <w:szCs w:val="32"/>
          <w:lang w:eastAsia="zh-CN" w:bidi="ar-SA"/>
        </w:rPr>
        <w:t>3</w:t>
      </w:r>
      <w:r>
        <w:rPr>
          <w:rFonts w:hint="eastAsia" w:ascii="仿宋_GB2312" w:eastAsia="仿宋_GB2312" w:cs="宋体"/>
          <w:b w:val="0"/>
          <w:bCs w:val="0"/>
          <w:kern w:val="2"/>
          <w:sz w:val="32"/>
          <w:szCs w:val="32"/>
          <w:lang w:val="en-US" w:eastAsia="zh-CN" w:bidi="ar-SA"/>
        </w:rPr>
        <w:t>5</w:t>
      </w:r>
      <w:r>
        <w:rPr>
          <w:rFonts w:hint="eastAsia" w:ascii="仿宋_GB2312" w:hAnsi="Calibri" w:eastAsia="仿宋_GB2312" w:cs="宋体"/>
          <w:b w:val="0"/>
          <w:bCs w:val="0"/>
          <w:kern w:val="2"/>
          <w:sz w:val="32"/>
          <w:szCs w:val="32"/>
          <w:lang w:val="en-US" w:eastAsia="zh-CN" w:bidi="ar-SA"/>
        </w:rPr>
        <w:t>人，</w:t>
      </w:r>
      <w:r>
        <w:rPr>
          <w:rFonts w:hint="eastAsia" w:ascii="仿宋_GB2312" w:eastAsia="仿宋_GB2312" w:cs="宋体"/>
          <w:b w:val="0"/>
          <w:bCs w:val="0"/>
          <w:kern w:val="2"/>
          <w:sz w:val="32"/>
          <w:szCs w:val="32"/>
          <w:lang w:val="en-US" w:eastAsia="zh-CN" w:bidi="ar-SA"/>
        </w:rPr>
        <w:t>现</w:t>
      </w:r>
      <w:r>
        <w:rPr>
          <w:rFonts w:hint="eastAsia" w:ascii="仿宋_GB2312" w:hAnsi="Calibri" w:eastAsia="仿宋_GB2312" w:cs="宋体"/>
          <w:b w:val="0"/>
          <w:bCs w:val="0"/>
          <w:kern w:val="2"/>
          <w:sz w:val="32"/>
          <w:szCs w:val="32"/>
          <w:lang w:val="en-US" w:eastAsia="zh-CN" w:bidi="ar-SA"/>
        </w:rPr>
        <w:t>在册患者</w:t>
      </w:r>
      <w:r>
        <w:rPr>
          <w:rFonts w:hint="eastAsia" w:ascii="仿宋_GB2312" w:eastAsia="仿宋_GB2312" w:cs="宋体"/>
          <w:b w:val="0"/>
          <w:bCs w:val="0"/>
          <w:kern w:val="2"/>
          <w:sz w:val="32"/>
          <w:szCs w:val="32"/>
          <w:lang w:val="en-US" w:eastAsia="zh-CN" w:bidi="ar-SA"/>
        </w:rPr>
        <w:t>1069</w:t>
      </w:r>
      <w:r>
        <w:rPr>
          <w:rFonts w:hint="eastAsia" w:ascii="仿宋_GB2312" w:hAnsi="Calibri" w:eastAsia="仿宋_GB2312" w:cs="宋体"/>
          <w:b w:val="0"/>
          <w:bCs w:val="0"/>
          <w:kern w:val="2"/>
          <w:sz w:val="32"/>
          <w:szCs w:val="32"/>
          <w:lang w:val="en-US" w:eastAsia="zh-CN" w:bidi="ar-SA"/>
        </w:rPr>
        <w:t>人。新区报告患病率3.</w:t>
      </w:r>
      <w:r>
        <w:rPr>
          <w:rFonts w:hint="default" w:ascii="仿宋_GB2312" w:eastAsia="仿宋_GB2312" w:cs="宋体"/>
          <w:b w:val="0"/>
          <w:bCs w:val="0"/>
          <w:kern w:val="2"/>
          <w:sz w:val="32"/>
          <w:szCs w:val="32"/>
          <w:lang w:eastAsia="zh-CN" w:bidi="ar-SA"/>
        </w:rPr>
        <w:t>2</w:t>
      </w:r>
      <w:r>
        <w:rPr>
          <w:rFonts w:hint="eastAsia" w:ascii="仿宋_GB2312" w:hAnsi="Calibri" w:eastAsia="仿宋_GB2312" w:cs="宋体"/>
          <w:b w:val="0"/>
          <w:bCs w:val="0"/>
          <w:kern w:val="2"/>
          <w:sz w:val="32"/>
          <w:szCs w:val="32"/>
          <w:lang w:val="en-US" w:eastAsia="zh-CN" w:bidi="ar-SA"/>
        </w:rPr>
        <w:t>5‰，在册患者管理率9</w:t>
      </w:r>
      <w:r>
        <w:rPr>
          <w:rFonts w:hint="default" w:ascii="仿宋_GB2312" w:eastAsia="仿宋_GB2312" w:cs="宋体"/>
          <w:b w:val="0"/>
          <w:bCs w:val="0"/>
          <w:kern w:val="2"/>
          <w:sz w:val="32"/>
          <w:szCs w:val="32"/>
          <w:lang w:eastAsia="zh-CN" w:bidi="ar-SA"/>
        </w:rPr>
        <w:t>9.44</w:t>
      </w:r>
      <w:r>
        <w:rPr>
          <w:rFonts w:hint="eastAsia" w:ascii="仿宋_GB2312" w:hAnsi="Calibri" w:eastAsia="仿宋_GB2312" w:cs="宋体"/>
          <w:b w:val="0"/>
          <w:bCs w:val="0"/>
          <w:kern w:val="2"/>
          <w:sz w:val="32"/>
          <w:szCs w:val="32"/>
          <w:lang w:val="en-US" w:eastAsia="zh-CN" w:bidi="ar-SA"/>
        </w:rPr>
        <w:t>%、规范管理率98.</w:t>
      </w:r>
      <w:r>
        <w:rPr>
          <w:rFonts w:hint="eastAsia" w:ascii="仿宋_GB2312" w:eastAsia="仿宋_GB2312" w:cs="宋体"/>
          <w:b w:val="0"/>
          <w:bCs w:val="0"/>
          <w:kern w:val="2"/>
          <w:sz w:val="32"/>
          <w:szCs w:val="32"/>
          <w:lang w:val="en-US" w:eastAsia="zh-CN" w:bidi="ar-SA"/>
        </w:rPr>
        <w:t>32</w:t>
      </w:r>
      <w:r>
        <w:rPr>
          <w:rFonts w:hint="eastAsia" w:ascii="仿宋_GB2312" w:hAnsi="Calibri" w:eastAsia="仿宋_GB2312" w:cs="宋体"/>
          <w:b w:val="0"/>
          <w:bCs w:val="0"/>
          <w:kern w:val="2"/>
          <w:sz w:val="32"/>
          <w:szCs w:val="32"/>
          <w:lang w:val="en-US" w:eastAsia="zh-CN" w:bidi="ar-SA"/>
        </w:rPr>
        <w:t>%；面访率98.</w:t>
      </w:r>
      <w:r>
        <w:rPr>
          <w:rFonts w:hint="default" w:ascii="仿宋_GB2312" w:eastAsia="仿宋_GB2312" w:cs="宋体"/>
          <w:b w:val="0"/>
          <w:bCs w:val="0"/>
          <w:kern w:val="2"/>
          <w:sz w:val="32"/>
          <w:szCs w:val="32"/>
          <w:lang w:eastAsia="zh-CN" w:bidi="ar-SA"/>
        </w:rPr>
        <w:t>97</w:t>
      </w:r>
      <w:r>
        <w:rPr>
          <w:rFonts w:hint="eastAsia" w:ascii="仿宋_GB2312" w:hAnsi="Calibri" w:eastAsia="仿宋_GB2312" w:cs="宋体"/>
          <w:b w:val="0"/>
          <w:bCs w:val="0"/>
          <w:kern w:val="2"/>
          <w:sz w:val="32"/>
          <w:szCs w:val="32"/>
          <w:lang w:val="en-US" w:eastAsia="zh-CN" w:bidi="ar-SA"/>
        </w:rPr>
        <w:t>%；体检率</w:t>
      </w:r>
      <w:r>
        <w:rPr>
          <w:rFonts w:hint="default" w:ascii="仿宋_GB2312" w:eastAsia="仿宋_GB2312" w:cs="宋体"/>
          <w:b w:val="0"/>
          <w:bCs w:val="0"/>
          <w:kern w:val="2"/>
          <w:sz w:val="32"/>
          <w:szCs w:val="32"/>
          <w:lang w:eastAsia="zh-CN" w:bidi="ar-SA"/>
        </w:rPr>
        <w:t>83.</w:t>
      </w:r>
      <w:r>
        <w:rPr>
          <w:rFonts w:hint="eastAsia" w:ascii="仿宋_GB2312" w:eastAsia="仿宋_GB2312" w:cs="宋体"/>
          <w:b w:val="0"/>
          <w:bCs w:val="0"/>
          <w:kern w:val="2"/>
          <w:sz w:val="32"/>
          <w:szCs w:val="32"/>
          <w:lang w:val="en-US" w:eastAsia="zh-CN" w:bidi="ar-SA"/>
        </w:rPr>
        <w:t>26</w:t>
      </w:r>
      <w:r>
        <w:rPr>
          <w:rFonts w:hint="eastAsia" w:ascii="仿宋_GB2312" w:hAnsi="Calibri" w:eastAsia="仿宋_GB2312" w:cs="宋体"/>
          <w:b w:val="0"/>
          <w:bCs w:val="0"/>
          <w:kern w:val="2"/>
          <w:sz w:val="32"/>
          <w:szCs w:val="32"/>
          <w:lang w:val="en-US" w:eastAsia="zh-CN" w:bidi="ar-SA"/>
        </w:rPr>
        <w:t>%；在册患者服药率9</w:t>
      </w:r>
      <w:r>
        <w:rPr>
          <w:rFonts w:hint="default" w:ascii="仿宋_GB2312" w:eastAsia="仿宋_GB2312" w:cs="宋体"/>
          <w:b w:val="0"/>
          <w:bCs w:val="0"/>
          <w:kern w:val="2"/>
          <w:sz w:val="32"/>
          <w:szCs w:val="32"/>
          <w:lang w:eastAsia="zh-CN" w:bidi="ar-SA"/>
        </w:rPr>
        <w:t>7.19</w:t>
      </w:r>
      <w:r>
        <w:rPr>
          <w:rFonts w:hint="eastAsia" w:ascii="仿宋_GB2312" w:hAnsi="Calibri" w:eastAsia="仿宋_GB2312" w:cs="宋体"/>
          <w:b w:val="0"/>
          <w:bCs w:val="0"/>
          <w:kern w:val="2"/>
          <w:sz w:val="32"/>
          <w:szCs w:val="32"/>
          <w:lang w:val="en-US" w:eastAsia="zh-CN" w:bidi="ar-SA"/>
        </w:rPr>
        <w:t>%、规律服药率9</w:t>
      </w:r>
      <w:r>
        <w:rPr>
          <w:rFonts w:hint="default" w:ascii="仿宋_GB2312" w:eastAsia="仿宋_GB2312" w:cs="宋体"/>
          <w:b w:val="0"/>
          <w:bCs w:val="0"/>
          <w:kern w:val="2"/>
          <w:sz w:val="32"/>
          <w:szCs w:val="32"/>
          <w:lang w:eastAsia="zh-CN" w:bidi="ar-SA"/>
        </w:rPr>
        <w:t>1.</w:t>
      </w:r>
      <w:r>
        <w:rPr>
          <w:rFonts w:hint="eastAsia" w:ascii="仿宋_GB2312" w:eastAsia="仿宋_GB2312" w:cs="宋体"/>
          <w:b w:val="0"/>
          <w:bCs w:val="0"/>
          <w:kern w:val="2"/>
          <w:sz w:val="32"/>
          <w:szCs w:val="32"/>
          <w:lang w:val="en-US" w:eastAsia="zh-CN" w:bidi="ar-SA"/>
        </w:rPr>
        <w:t>30</w:t>
      </w:r>
      <w:r>
        <w:rPr>
          <w:rFonts w:hint="eastAsia" w:ascii="仿宋_GB2312" w:hAnsi="Calibri" w:eastAsia="仿宋_GB2312" w:cs="宋体"/>
          <w:b w:val="0"/>
          <w:bCs w:val="0"/>
          <w:kern w:val="2"/>
          <w:sz w:val="32"/>
          <w:szCs w:val="32"/>
          <w:lang w:val="en-US" w:eastAsia="zh-CN" w:bidi="ar-SA"/>
        </w:rPr>
        <w:t>%；在册精神分裂症患者服药率9</w:t>
      </w:r>
      <w:r>
        <w:rPr>
          <w:rFonts w:hint="default" w:ascii="仿宋_GB2312" w:eastAsia="仿宋_GB2312" w:cs="宋体"/>
          <w:b w:val="0"/>
          <w:bCs w:val="0"/>
          <w:kern w:val="2"/>
          <w:sz w:val="32"/>
          <w:szCs w:val="32"/>
          <w:lang w:eastAsia="zh-CN" w:bidi="ar-SA"/>
        </w:rPr>
        <w:t>4.35</w:t>
      </w:r>
      <w:r>
        <w:rPr>
          <w:rFonts w:hint="eastAsia" w:ascii="仿宋_GB2312" w:hAnsi="Calibri" w:eastAsia="仿宋_GB2312" w:cs="宋体"/>
          <w:b w:val="0"/>
          <w:bCs w:val="0"/>
          <w:kern w:val="2"/>
          <w:sz w:val="32"/>
          <w:szCs w:val="32"/>
          <w:lang w:val="en-US" w:eastAsia="zh-CN" w:bidi="ar-SA"/>
        </w:rPr>
        <w:t>%、规律服药率</w:t>
      </w:r>
      <w:r>
        <w:rPr>
          <w:rFonts w:hint="default" w:ascii="仿宋_GB2312" w:eastAsia="仿宋_GB2312" w:cs="宋体"/>
          <w:b w:val="0"/>
          <w:bCs w:val="0"/>
          <w:kern w:val="2"/>
          <w:sz w:val="32"/>
          <w:szCs w:val="32"/>
          <w:lang w:eastAsia="zh-CN" w:bidi="ar-SA"/>
        </w:rPr>
        <w:t>85.15</w:t>
      </w:r>
      <w:r>
        <w:rPr>
          <w:rFonts w:hint="eastAsia" w:ascii="仿宋_GB2312" w:hAnsi="Calibri" w:eastAsia="仿宋_GB2312" w:cs="宋体"/>
          <w:b w:val="0"/>
          <w:bCs w:val="0"/>
          <w:kern w:val="2"/>
          <w:sz w:val="32"/>
          <w:szCs w:val="32"/>
          <w:lang w:val="en-US" w:eastAsia="zh-CN" w:bidi="ar-SA"/>
        </w:rPr>
        <w:t>%，目前正在住院患者</w:t>
      </w:r>
      <w:r>
        <w:rPr>
          <w:rFonts w:hint="eastAsia" w:ascii="仿宋_GB2312" w:eastAsia="仿宋_GB2312" w:cs="宋体"/>
          <w:b w:val="0"/>
          <w:bCs w:val="0"/>
          <w:kern w:val="2"/>
          <w:sz w:val="32"/>
          <w:szCs w:val="32"/>
          <w:lang w:val="en-US" w:eastAsia="zh-CN" w:bidi="ar-SA"/>
        </w:rPr>
        <w:t>58</w:t>
      </w:r>
      <w:r>
        <w:rPr>
          <w:rFonts w:hint="eastAsia" w:ascii="仿宋_GB2312" w:hAnsi="Calibri" w:eastAsia="仿宋_GB2312" w:cs="宋体"/>
          <w:b w:val="0"/>
          <w:bCs w:val="0"/>
          <w:kern w:val="2"/>
          <w:sz w:val="32"/>
          <w:szCs w:val="32"/>
          <w:lang w:val="en-US" w:eastAsia="zh-CN" w:bidi="ar-SA"/>
        </w:rPr>
        <w:t>人</w:t>
      </w:r>
      <w:r>
        <w:rPr>
          <w:rFonts w:hint="eastAsia" w:ascii="仿宋_GB2312" w:eastAsia="仿宋_GB2312" w:cs="宋体"/>
          <w:b w:val="0"/>
          <w:bCs w:val="0"/>
          <w:kern w:val="2"/>
          <w:sz w:val="32"/>
          <w:szCs w:val="32"/>
          <w:lang w:val="en-US" w:eastAsia="zh-CN" w:bidi="ar-SA"/>
        </w:rPr>
        <w:t>，稳定率99.8%。</w:t>
      </w:r>
    </w:p>
    <w:p>
      <w:pPr>
        <w:spacing w:line="560" w:lineRule="exact"/>
        <w:ind w:firstLine="643" w:firstLineChars="200"/>
        <w:rPr>
          <w:rFonts w:hint="eastAsia" w:ascii="仿宋_GB2312" w:eastAsia="仿宋_GB2312" w:cs="宋体"/>
          <w:kern w:val="2"/>
          <w:sz w:val="32"/>
          <w:szCs w:val="32"/>
          <w:lang w:val="en-US" w:eastAsia="zh-CN" w:bidi="ar-SA"/>
        </w:rPr>
      </w:pPr>
      <w:r>
        <w:rPr>
          <w:rFonts w:hint="eastAsia" w:ascii="仿宋_GB2312" w:eastAsia="仿宋_GB2312" w:cs="宋体"/>
          <w:b/>
          <w:bCs/>
          <w:kern w:val="2"/>
          <w:sz w:val="32"/>
          <w:szCs w:val="32"/>
          <w:lang w:val="en-US" w:eastAsia="zh-CN" w:bidi="ar-SA"/>
        </w:rPr>
        <w:t>3.强化死因监测，规范肿瘤登记。</w:t>
      </w:r>
      <w:r>
        <w:rPr>
          <w:rFonts w:hint="eastAsia" w:ascii="仿宋_GB2312" w:eastAsia="仿宋_GB2312" w:cs="宋体"/>
          <w:kern w:val="2"/>
          <w:sz w:val="32"/>
          <w:szCs w:val="32"/>
          <w:lang w:val="en-US" w:eastAsia="zh-CN" w:bidi="ar-SA"/>
        </w:rPr>
        <w:t>截至目前，</w:t>
      </w:r>
      <w:r>
        <w:rPr>
          <w:rFonts w:hint="eastAsia" w:ascii="仿宋_GB2312" w:hAnsi="Calibri" w:eastAsia="仿宋_GB2312" w:cs="宋体"/>
          <w:kern w:val="2"/>
          <w:sz w:val="32"/>
          <w:szCs w:val="32"/>
          <w:lang w:val="en-US" w:eastAsia="zh-CN" w:bidi="ar-SA"/>
        </w:rPr>
        <w:t>共审核</w:t>
      </w:r>
      <w:r>
        <w:rPr>
          <w:rFonts w:hint="eastAsia" w:ascii="仿宋_GB2312" w:eastAsia="仿宋_GB2312" w:cs="宋体"/>
          <w:kern w:val="2"/>
          <w:sz w:val="32"/>
          <w:szCs w:val="32"/>
          <w:lang w:val="en-US" w:eastAsia="zh-CN" w:bidi="ar-SA"/>
        </w:rPr>
        <w:t>死亡病例卡片</w:t>
      </w:r>
      <w:r>
        <w:rPr>
          <w:rFonts w:hint="default" w:ascii="仿宋_GB2312" w:eastAsia="仿宋_GB2312" w:cs="宋体"/>
          <w:kern w:val="2"/>
          <w:sz w:val="32"/>
          <w:szCs w:val="32"/>
          <w:lang w:eastAsia="zh-CN" w:bidi="ar-SA"/>
        </w:rPr>
        <w:t>946</w:t>
      </w:r>
      <w:r>
        <w:rPr>
          <w:rFonts w:hint="eastAsia" w:ascii="仿宋_GB2312" w:hAnsi="Calibri" w:eastAsia="仿宋_GB2312" w:cs="宋体"/>
          <w:kern w:val="2"/>
          <w:sz w:val="32"/>
          <w:szCs w:val="32"/>
          <w:lang w:val="en-US" w:eastAsia="zh-CN" w:bidi="ar-SA"/>
        </w:rPr>
        <w:t>例，报告粗死亡</w:t>
      </w:r>
      <w:r>
        <w:rPr>
          <w:rFonts w:hint="eastAsia" w:ascii="仿宋_GB2312" w:hAnsi="Calibri" w:eastAsia="仿宋_GB2312" w:cs="宋体"/>
          <w:color w:val="auto"/>
          <w:kern w:val="2"/>
          <w:sz w:val="32"/>
          <w:szCs w:val="32"/>
          <w:highlight w:val="none"/>
          <w:lang w:val="en-US" w:eastAsia="zh-CN" w:bidi="ar-SA"/>
        </w:rPr>
        <w:t>率</w:t>
      </w:r>
      <w:r>
        <w:rPr>
          <w:rFonts w:hint="default" w:ascii="仿宋_GB2312" w:eastAsia="仿宋_GB2312" w:cs="宋体"/>
          <w:color w:val="auto"/>
          <w:kern w:val="2"/>
          <w:sz w:val="32"/>
          <w:szCs w:val="32"/>
          <w:highlight w:val="none"/>
          <w:lang w:eastAsia="zh-CN" w:bidi="ar-SA"/>
        </w:rPr>
        <w:t>2.25</w:t>
      </w:r>
      <w:r>
        <w:rPr>
          <w:rFonts w:hint="eastAsia" w:ascii="仿宋_GB2312" w:hAnsi="Calibri" w:eastAsia="仿宋_GB2312" w:cs="宋体"/>
          <w:color w:val="auto"/>
          <w:kern w:val="2"/>
          <w:sz w:val="32"/>
          <w:szCs w:val="32"/>
          <w:highlight w:val="none"/>
          <w:lang w:val="en-US" w:eastAsia="zh-CN" w:bidi="ar-SA"/>
        </w:rPr>
        <w:t>‰</w:t>
      </w:r>
      <w:r>
        <w:rPr>
          <w:rFonts w:hint="eastAsia" w:ascii="仿宋_GB2312" w:hAnsi="Calibri" w:eastAsia="仿宋_GB2312" w:cs="宋体"/>
          <w:kern w:val="2"/>
          <w:sz w:val="32"/>
          <w:szCs w:val="32"/>
          <w:lang w:val="en-US" w:eastAsia="zh-CN" w:bidi="ar-SA"/>
        </w:rPr>
        <w:t>，</w:t>
      </w:r>
      <w:r>
        <w:rPr>
          <w:rFonts w:hint="eastAsia" w:ascii="仿宋_GB2312" w:eastAsia="仿宋_GB2312" w:cs="宋体"/>
          <w:kern w:val="2"/>
          <w:sz w:val="32"/>
          <w:szCs w:val="32"/>
          <w:lang w:val="en-US" w:eastAsia="zh-CN" w:bidi="ar-SA"/>
        </w:rPr>
        <w:t>报告肿瘤病例卡片</w:t>
      </w:r>
      <w:r>
        <w:rPr>
          <w:rFonts w:hint="default" w:ascii="仿宋_GB2312" w:eastAsia="仿宋_GB2312" w:cs="宋体"/>
          <w:kern w:val="2"/>
          <w:sz w:val="32"/>
          <w:szCs w:val="32"/>
          <w:lang w:eastAsia="zh-CN" w:bidi="ar-SA"/>
        </w:rPr>
        <w:t>766条，收集近三年肿瘤发病数据1297条</w:t>
      </w:r>
      <w:r>
        <w:rPr>
          <w:rFonts w:hint="eastAsia" w:ascii="仿宋_GB2312" w:eastAsia="仿宋_GB2312" w:cs="宋体"/>
          <w:kern w:val="2"/>
          <w:sz w:val="32"/>
          <w:szCs w:val="32"/>
          <w:lang w:eastAsia="zh-CN" w:bidi="ar-SA"/>
        </w:rPr>
        <w:t>，</w:t>
      </w:r>
      <w:r>
        <w:rPr>
          <w:rFonts w:hint="eastAsia" w:ascii="仿宋_GB2312" w:eastAsia="仿宋_GB2312" w:cs="宋体"/>
          <w:kern w:val="2"/>
          <w:sz w:val="32"/>
          <w:szCs w:val="32"/>
          <w:lang w:val="en-US" w:eastAsia="zh-CN" w:bidi="ar-SA"/>
        </w:rPr>
        <w:t>按月对</w:t>
      </w:r>
      <w:r>
        <w:rPr>
          <w:rFonts w:hint="eastAsia" w:ascii="仿宋_GB2312" w:hAnsi="Calibri" w:eastAsia="仿宋_GB2312" w:cs="宋体"/>
          <w:kern w:val="2"/>
          <w:sz w:val="32"/>
          <w:szCs w:val="32"/>
          <w:lang w:val="en-US" w:eastAsia="zh-CN" w:bidi="ar-SA"/>
        </w:rPr>
        <w:t>各医疗机构死因漏报情况、死因报告质量</w:t>
      </w:r>
      <w:r>
        <w:rPr>
          <w:rFonts w:hint="eastAsia" w:ascii="仿宋_GB2312" w:eastAsia="仿宋_GB2312" w:cs="宋体"/>
          <w:kern w:val="2"/>
          <w:sz w:val="32"/>
          <w:szCs w:val="32"/>
          <w:lang w:val="en-US" w:eastAsia="zh-CN" w:bidi="ar-SA"/>
        </w:rPr>
        <w:t>、肿瘤随访数据</w:t>
      </w:r>
      <w:r>
        <w:rPr>
          <w:rFonts w:hint="eastAsia" w:ascii="仿宋_GB2312" w:hAnsi="Calibri" w:eastAsia="仿宋_GB2312" w:cs="宋体"/>
          <w:kern w:val="2"/>
          <w:sz w:val="32"/>
          <w:szCs w:val="32"/>
          <w:lang w:val="en-US" w:eastAsia="zh-CN" w:bidi="ar-SA"/>
        </w:rPr>
        <w:t>进行现场指导</w:t>
      </w:r>
      <w:r>
        <w:rPr>
          <w:rFonts w:hint="default" w:ascii="仿宋_GB2312" w:eastAsia="仿宋_GB2312" w:cs="宋体"/>
          <w:kern w:val="2"/>
          <w:sz w:val="32"/>
          <w:szCs w:val="32"/>
          <w:lang w:eastAsia="zh-CN" w:bidi="ar-SA"/>
        </w:rPr>
        <w:t>10</w:t>
      </w:r>
      <w:r>
        <w:rPr>
          <w:rFonts w:hint="eastAsia" w:ascii="仿宋_GB2312" w:eastAsia="仿宋_GB2312" w:cs="宋体"/>
          <w:kern w:val="2"/>
          <w:sz w:val="32"/>
          <w:szCs w:val="32"/>
          <w:lang w:val="en-US" w:eastAsia="zh-CN" w:bidi="ar-SA"/>
        </w:rPr>
        <w:t>次</w:t>
      </w:r>
      <w:r>
        <w:rPr>
          <w:rFonts w:hint="eastAsia" w:ascii="仿宋_GB2312" w:hAnsi="Calibri" w:eastAsia="仿宋_GB2312" w:cs="宋体"/>
          <w:kern w:val="2"/>
          <w:sz w:val="32"/>
          <w:szCs w:val="32"/>
          <w:lang w:val="en-US" w:eastAsia="zh-CN" w:bidi="ar-SA"/>
        </w:rPr>
        <w:t>，督促漏报率较高单位按时上报死因登记信息。</w:t>
      </w:r>
      <w:r>
        <w:rPr>
          <w:rFonts w:hint="eastAsia" w:ascii="仿宋_GB2312" w:eastAsia="仿宋_GB2312" w:cs="宋体"/>
          <w:kern w:val="2"/>
          <w:sz w:val="32"/>
          <w:szCs w:val="32"/>
          <w:lang w:val="en-US" w:eastAsia="zh-CN" w:bidi="ar-SA"/>
        </w:rPr>
        <w:t>组织召开</w:t>
      </w:r>
      <w:r>
        <w:rPr>
          <w:rFonts w:hint="eastAsia" w:ascii="仿宋_GB2312" w:hAnsi="Calibri" w:eastAsia="仿宋_GB2312" w:cs="宋体"/>
          <w:kern w:val="2"/>
          <w:sz w:val="32"/>
          <w:szCs w:val="32"/>
          <w:lang w:val="en-US" w:eastAsia="zh-CN" w:bidi="ar-SA"/>
        </w:rPr>
        <w:t>肿瘤随访登记工作汇报及数据研讨会</w:t>
      </w:r>
      <w:r>
        <w:rPr>
          <w:rFonts w:hint="eastAsia" w:ascii="仿宋_GB2312" w:eastAsia="仿宋_GB2312" w:cs="宋体"/>
          <w:kern w:val="2"/>
          <w:sz w:val="32"/>
          <w:szCs w:val="32"/>
          <w:lang w:val="en-US" w:eastAsia="zh-CN" w:bidi="ar-SA"/>
        </w:rPr>
        <w:t>1次，联合新区第一人民医院、西岔卫生院开展肿瘤防治周义诊、宣传活动1次，受众200余人。</w:t>
      </w:r>
    </w:p>
    <w:p>
      <w:pPr>
        <w:spacing w:line="560" w:lineRule="exact"/>
        <w:ind w:firstLine="643" w:firstLineChars="200"/>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eastAsia="仿宋_GB2312" w:cs="宋体"/>
          <w:b/>
          <w:bCs/>
          <w:kern w:val="2"/>
          <w:sz w:val="32"/>
          <w:szCs w:val="32"/>
          <w:lang w:val="en-US" w:eastAsia="zh-CN" w:bidi="ar-SA"/>
        </w:rPr>
        <w:t>4.强化水质</w:t>
      </w:r>
      <w:r>
        <w:rPr>
          <w:rFonts w:hint="eastAsia" w:ascii="仿宋_GB2312" w:hAnsi="Calibri" w:eastAsia="仿宋_GB2312" w:cs="宋体"/>
          <w:b/>
          <w:bCs/>
          <w:kern w:val="2"/>
          <w:sz w:val="32"/>
          <w:szCs w:val="32"/>
          <w:lang w:val="en-US" w:eastAsia="zh-CN" w:bidi="ar-SA"/>
        </w:rPr>
        <w:t>监测</w:t>
      </w:r>
      <w:r>
        <w:rPr>
          <w:rFonts w:hint="eastAsia" w:ascii="仿宋_GB2312" w:eastAsia="仿宋_GB2312" w:cs="宋体"/>
          <w:b/>
          <w:bCs/>
          <w:kern w:val="2"/>
          <w:sz w:val="32"/>
          <w:szCs w:val="32"/>
          <w:lang w:val="en-US" w:eastAsia="zh-CN" w:bidi="ar-SA"/>
        </w:rPr>
        <w:t>，保障食品安全</w:t>
      </w:r>
      <w:r>
        <w:rPr>
          <w:rFonts w:hint="eastAsia" w:ascii="仿宋_GB2312" w:hAnsi="Calibri" w:eastAsia="仿宋_GB2312" w:cs="宋体"/>
          <w:b/>
          <w:bCs/>
          <w:kern w:val="2"/>
          <w:sz w:val="32"/>
          <w:szCs w:val="32"/>
          <w:lang w:val="en-US" w:eastAsia="zh-CN" w:bidi="ar-SA"/>
        </w:rPr>
        <w:t>。</w:t>
      </w:r>
      <w:r>
        <w:rPr>
          <w:rFonts w:hint="eastAsia" w:ascii="仿宋_GB2312" w:eastAsia="仿宋_GB2312" w:cs="宋体"/>
          <w:kern w:val="2"/>
          <w:sz w:val="32"/>
          <w:szCs w:val="32"/>
          <w:lang w:val="en-US" w:eastAsia="zh-CN" w:bidi="ar-SA"/>
        </w:rPr>
        <w:t>截至目前，全年监测生活饮用水216批次，水质合格率100%，向国家</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监测系统上报数据2560条。</w:t>
      </w:r>
      <w:r>
        <w:rPr>
          <w:rFonts w:hint="eastAsia" w:ascii="仿宋_GB2312" w:hAnsi="Calibri" w:eastAsia="仿宋_GB2312" w:cs="宋体"/>
          <w:kern w:val="2"/>
          <w:sz w:val="32"/>
          <w:szCs w:val="32"/>
          <w:lang w:val="en-US" w:eastAsia="zh-CN" w:bidi="ar-SA"/>
        </w:rPr>
        <w:t>采集谷</w:t>
      </w:r>
      <w:r>
        <w:rPr>
          <w:rFonts w:hint="eastAsia" w:ascii="仿宋_GB2312" w:eastAsia="仿宋_GB2312" w:cs="宋体"/>
          <w:kern w:val="2"/>
          <w:sz w:val="32"/>
          <w:szCs w:val="32"/>
          <w:lang w:val="en-US" w:eastAsia="zh-CN" w:bidi="ar-SA"/>
        </w:rPr>
        <w:t>类、肉类等15类</w:t>
      </w:r>
      <w:r>
        <w:rPr>
          <w:rFonts w:hint="eastAsia" w:ascii="仿宋_GB2312" w:hAnsi="Calibri" w:eastAsia="仿宋_GB2312" w:cs="宋体"/>
          <w:kern w:val="2"/>
          <w:sz w:val="32"/>
          <w:szCs w:val="32"/>
          <w:lang w:val="en-US" w:eastAsia="zh-CN" w:bidi="ar-SA"/>
        </w:rPr>
        <w:t>食品样品</w:t>
      </w:r>
      <w:r>
        <w:rPr>
          <w:rFonts w:hint="default" w:ascii="仿宋_GB2312" w:eastAsia="仿宋_GB2312" w:cs="宋体"/>
          <w:kern w:val="2"/>
          <w:sz w:val="32"/>
          <w:szCs w:val="32"/>
          <w:lang w:eastAsia="zh-CN" w:bidi="ar-SA"/>
        </w:rPr>
        <w:t>92</w:t>
      </w:r>
      <w:r>
        <w:rPr>
          <w:rFonts w:hint="eastAsia" w:ascii="仿宋_GB2312" w:hAnsi="Calibri" w:eastAsia="仿宋_GB2312" w:cs="宋体"/>
          <w:kern w:val="2"/>
          <w:sz w:val="32"/>
          <w:szCs w:val="32"/>
          <w:lang w:val="en-US" w:eastAsia="zh-CN" w:bidi="ar-SA"/>
        </w:rPr>
        <w:t>份</w:t>
      </w:r>
      <w:r>
        <w:rPr>
          <w:rFonts w:hint="default" w:ascii="仿宋_GB2312" w:eastAsia="仿宋_GB2312" w:cs="宋体"/>
          <w:kern w:val="2"/>
          <w:sz w:val="32"/>
          <w:szCs w:val="32"/>
          <w:lang w:eastAsia="zh-CN" w:bidi="ar-SA"/>
        </w:rPr>
        <w:t>，报送监测数据880条</w:t>
      </w:r>
      <w:r>
        <w:rPr>
          <w:rFonts w:hint="eastAsia" w:ascii="仿宋_GB2312" w:eastAsia="仿宋_GB2312" w:cs="宋体"/>
          <w:kern w:val="2"/>
          <w:sz w:val="32"/>
          <w:szCs w:val="32"/>
          <w:lang w:eastAsia="zh-CN" w:bidi="ar-SA"/>
        </w:rPr>
        <w:t>，</w:t>
      </w:r>
      <w:r>
        <w:rPr>
          <w:rFonts w:hint="eastAsia" w:ascii="仿宋_GB2312" w:hAnsi="仿宋_GB2312" w:eastAsia="仿宋_GB2312" w:cs="仿宋_GB2312"/>
          <w:sz w:val="32"/>
          <w:szCs w:val="32"/>
          <w:lang w:val="en-US" w:eastAsia="zh-CN"/>
        </w:rPr>
        <w:t>监测覆盖率100%。</w:t>
      </w:r>
      <w:r>
        <w:rPr>
          <w:rFonts w:hint="eastAsia" w:ascii="仿宋_GB2312" w:hAnsi="Calibri" w:eastAsia="仿宋_GB2312" w:cs="宋体"/>
          <w:kern w:val="2"/>
          <w:sz w:val="32"/>
          <w:szCs w:val="32"/>
          <w:lang w:val="en-US" w:eastAsia="zh-CN" w:bidi="ar-SA"/>
        </w:rPr>
        <w:t>审核食源性病例卡片</w:t>
      </w:r>
      <w:r>
        <w:rPr>
          <w:rFonts w:hint="default" w:ascii="仿宋_GB2312" w:eastAsia="仿宋_GB2312" w:cs="宋体"/>
          <w:kern w:val="2"/>
          <w:sz w:val="32"/>
          <w:szCs w:val="32"/>
          <w:lang w:eastAsia="zh-CN" w:bidi="ar-SA"/>
        </w:rPr>
        <w:t>301</w:t>
      </w:r>
      <w:r>
        <w:rPr>
          <w:rFonts w:hint="eastAsia" w:ascii="仿宋_GB2312" w:eastAsia="仿宋_GB2312" w:cs="宋体"/>
          <w:kern w:val="2"/>
          <w:sz w:val="32"/>
          <w:szCs w:val="32"/>
          <w:lang w:val="en-US" w:eastAsia="zh-CN" w:bidi="ar-SA"/>
        </w:rPr>
        <w:t>条，</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开展食源性疾病病例监测培训1次，指导辖区医疗机构食源性疾病监测工作4次，完成6类166家公共场所健康危害因素检测工作。</w:t>
      </w:r>
    </w:p>
    <w:p>
      <w:pPr>
        <w:spacing w:line="560" w:lineRule="exact"/>
        <w:ind w:firstLine="643" w:firstLineChars="200"/>
        <w:rPr>
          <w:rFonts w:hint="eastAsia" w:ascii="仿宋_GB2312" w:eastAsia="仿宋_GB2312"/>
          <w:sz w:val="32"/>
          <w:szCs w:val="32"/>
          <w:lang w:eastAsia="zh-CN"/>
        </w:rPr>
      </w:pPr>
      <w:r>
        <w:rPr>
          <w:rFonts w:hint="eastAsia" w:ascii="仿宋_GB2312" w:hAnsi="仿宋_GB2312" w:eastAsia="仿宋_GB2312" w:cs="仿宋_GB2312"/>
          <w:b/>
          <w:bCs/>
          <w:color w:val="000000"/>
          <w:sz w:val="32"/>
          <w:szCs w:val="32"/>
          <w:lang w:val="en-US" w:eastAsia="zh-CN"/>
        </w:rPr>
        <w:t>5.强化校园监测，共筑健康防线</w:t>
      </w:r>
      <w:r>
        <w:rPr>
          <w:rFonts w:hint="eastAsia" w:ascii="仿宋_GB2312" w:hAnsi="仿宋_GB2312" w:eastAsia="仿宋_GB2312" w:cs="仿宋_GB2312"/>
          <w:b/>
          <w:bCs/>
          <w:color w:val="000000"/>
          <w:sz w:val="32"/>
          <w:szCs w:val="32"/>
        </w:rPr>
        <w:t>。</w:t>
      </w:r>
      <w:r>
        <w:rPr>
          <w:rFonts w:hint="eastAsia" w:ascii="仿宋_GB2312" w:eastAsia="仿宋_GB2312" w:cs="宋体"/>
          <w:kern w:val="2"/>
          <w:sz w:val="32"/>
          <w:szCs w:val="32"/>
          <w:lang w:val="en-US" w:eastAsia="zh-CN" w:bidi="ar-SA"/>
        </w:rPr>
        <w:t>联合教育部门、医疗机构</w:t>
      </w:r>
      <w:r>
        <w:rPr>
          <w:rFonts w:hint="default" w:ascii="仿宋_GB2312" w:eastAsia="仿宋_GB2312" w:cs="宋体"/>
          <w:kern w:val="2"/>
          <w:sz w:val="32"/>
          <w:szCs w:val="32"/>
          <w:lang w:val="en-US" w:eastAsia="zh-CN" w:bidi="ar-SA"/>
        </w:rPr>
        <w:t>开展</w:t>
      </w:r>
      <w:r>
        <w:rPr>
          <w:rFonts w:hint="eastAsia" w:ascii="仿宋_GB2312" w:eastAsia="仿宋_GB2312" w:cs="宋体"/>
          <w:kern w:val="2"/>
          <w:sz w:val="32"/>
          <w:szCs w:val="32"/>
          <w:lang w:val="en-US" w:eastAsia="zh-CN" w:bidi="ar-SA"/>
        </w:rPr>
        <w:t>2</w:t>
      </w:r>
      <w:r>
        <w:rPr>
          <w:rFonts w:hint="eastAsia" w:ascii="仿宋_GB2312" w:hAnsi="Calibri" w:eastAsia="仿宋_GB2312" w:cs="宋体"/>
          <w:kern w:val="2"/>
          <w:sz w:val="32"/>
          <w:szCs w:val="32"/>
          <w:lang w:val="en-US" w:eastAsia="zh-CN" w:bidi="ar-SA"/>
        </w:rPr>
        <w:t>024</w:t>
      </w:r>
      <w:r>
        <w:rPr>
          <w:rFonts w:hint="eastAsia" w:ascii="仿宋_GB2312" w:eastAsia="仿宋_GB2312"/>
          <w:sz w:val="32"/>
          <w:szCs w:val="32"/>
        </w:rPr>
        <w:t>年新区学生常见病和健康影响因素监测干预</w:t>
      </w:r>
      <w:r>
        <w:rPr>
          <w:rFonts w:hint="eastAsia" w:ascii="仿宋_GB2312" w:eastAsia="仿宋_GB2312"/>
          <w:sz w:val="32"/>
          <w:szCs w:val="32"/>
          <w:lang w:eastAsia="zh-CN"/>
        </w:rPr>
        <w:t>、</w:t>
      </w:r>
      <w:r>
        <w:rPr>
          <w:rFonts w:hint="eastAsia" w:ascii="仿宋_GB2312" w:eastAsia="仿宋_GB2312"/>
          <w:sz w:val="32"/>
          <w:szCs w:val="32"/>
          <w:lang w:val="en-US" w:eastAsia="zh-CN"/>
        </w:rPr>
        <w:t>碘缺乏病监测和</w:t>
      </w:r>
      <w:r>
        <w:rPr>
          <w:rFonts w:ascii="仿宋_GB2312" w:eastAsia="仿宋_GB2312"/>
          <w:sz w:val="32"/>
          <w:szCs w:val="32"/>
        </w:rPr>
        <w:t>儿童口腔干预</w:t>
      </w:r>
      <w:r>
        <w:rPr>
          <w:rFonts w:hint="eastAsia" w:ascii="仿宋_GB2312" w:eastAsia="仿宋_GB2312"/>
          <w:sz w:val="32"/>
          <w:szCs w:val="32"/>
        </w:rPr>
        <w:t>“窝沟封闭”工作</w:t>
      </w:r>
      <w:r>
        <w:rPr>
          <w:rFonts w:hint="eastAsia" w:ascii="仿宋_GB2312" w:eastAsia="仿宋_GB2312"/>
          <w:sz w:val="32"/>
          <w:szCs w:val="32"/>
          <w:lang w:eastAsia="zh-CN"/>
        </w:rPr>
        <w:t>。</w:t>
      </w:r>
      <w:r>
        <w:rPr>
          <w:rFonts w:hint="eastAsia" w:ascii="仿宋_GB2312" w:eastAsia="仿宋_GB2312"/>
          <w:sz w:val="32"/>
          <w:szCs w:val="32"/>
          <w:lang w:val="en-US" w:eastAsia="zh-CN"/>
        </w:rPr>
        <w:t>组织召开碘缺乏病监测培训1次，学校营养干预工作3次，监测学生3213人，调查问卷2213份；完成577名7-9岁儿童1884颗恒磨牙窝沟封闭和647名学龄前儿童局部涂氟工作，口腔检查覆盖人数1224人，封闭复查率25.59%，复查完好率95.68%</w:t>
      </w:r>
      <w:r>
        <w:rPr>
          <w:rFonts w:hint="eastAsia" w:ascii="仿宋_GB2312" w:eastAsia="仿宋_GB2312"/>
          <w:sz w:val="32"/>
          <w:szCs w:val="32"/>
          <w:lang w:eastAsia="zh-CN"/>
        </w:rPr>
        <w:t>。</w:t>
      </w:r>
      <w:r>
        <w:rPr>
          <w:rFonts w:hint="eastAsia" w:ascii="仿宋_GB2312" w:eastAsia="仿宋_GB2312"/>
          <w:sz w:val="32"/>
          <w:szCs w:val="32"/>
        </w:rPr>
        <w:t>联合西岔综合门诊部开展学生常见病暨心理健康宣传活动</w:t>
      </w:r>
      <w:r>
        <w:rPr>
          <w:rFonts w:hint="eastAsia" w:ascii="仿宋_GB2312" w:eastAsia="仿宋_GB2312"/>
          <w:sz w:val="32"/>
          <w:szCs w:val="32"/>
          <w:lang w:val="en-US" w:eastAsia="zh-CN"/>
        </w:rPr>
        <w:t>1次，印制各类宣传册、海报23000余册，受众师生5万余人</w:t>
      </w:r>
      <w:r>
        <w:rPr>
          <w:rFonts w:hint="eastAsia" w:ascii="仿宋_GB2312" w:hAnsi="仿宋_GB2312" w:eastAsia="仿宋_GB2312" w:cs="仿宋_GB2312"/>
          <w:b/>
          <w:bCs/>
          <w:color w:val="000000"/>
          <w:sz w:val="32"/>
          <w:szCs w:val="32"/>
        </w:rPr>
        <w:t>。</w:t>
      </w:r>
    </w:p>
    <w:p>
      <w:pPr>
        <w:spacing w:line="560" w:lineRule="exact"/>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color w:val="000000"/>
          <w:sz w:val="32"/>
          <w:szCs w:val="32"/>
          <w:lang w:val="en-US" w:eastAsia="zh-CN"/>
        </w:rPr>
        <w:t>6.强化环境监测，促进职业健康</w:t>
      </w:r>
      <w:r>
        <w:rPr>
          <w:rFonts w:hint="eastAsia" w:ascii="仿宋_GB2312" w:hAnsi="仿宋_GB2312" w:eastAsia="仿宋_GB2312" w:cs="仿宋_GB2312"/>
          <w:b/>
          <w:bCs/>
          <w:color w:val="auto"/>
          <w:sz w:val="32"/>
          <w:szCs w:val="32"/>
        </w:rPr>
        <w:t>。</w:t>
      </w:r>
      <w:r>
        <w:rPr>
          <w:rFonts w:hint="eastAsia" w:ascii="仿宋_GB2312" w:eastAsia="仿宋_GB2312"/>
          <w:sz w:val="32"/>
          <w:szCs w:val="32"/>
          <w:lang w:val="en-US" w:eastAsia="zh-CN"/>
        </w:rPr>
        <w:t>与第三方检测机构合作开展2024年工作场所职业病危害因素</w:t>
      </w:r>
      <w:r>
        <w:rPr>
          <w:rFonts w:hint="default" w:ascii="仿宋_GB2312" w:eastAsia="仿宋_GB2312"/>
          <w:sz w:val="32"/>
          <w:szCs w:val="32"/>
          <w:lang w:eastAsia="zh-CN"/>
        </w:rPr>
        <w:t>监测</w:t>
      </w:r>
      <w:r>
        <w:rPr>
          <w:rFonts w:hint="eastAsia" w:ascii="仿宋_GB2312" w:eastAsia="仿宋_GB2312"/>
          <w:sz w:val="32"/>
          <w:szCs w:val="32"/>
          <w:lang w:val="en-US" w:eastAsia="zh-CN"/>
        </w:rPr>
        <w:t>工作和第二产业、第三产业重点行业劳动者健康素养</w:t>
      </w:r>
      <w:r>
        <w:rPr>
          <w:rFonts w:hint="default" w:ascii="仿宋_GB2312" w:eastAsia="仿宋_GB2312"/>
          <w:sz w:val="32"/>
          <w:szCs w:val="32"/>
          <w:lang w:eastAsia="zh-CN"/>
        </w:rPr>
        <w:t>调查干预工作</w:t>
      </w:r>
      <w:r>
        <w:rPr>
          <w:rFonts w:hint="eastAsia" w:ascii="仿宋_GB2312" w:eastAsia="仿宋_GB2312"/>
          <w:sz w:val="32"/>
          <w:szCs w:val="32"/>
          <w:lang w:eastAsia="zh-CN"/>
        </w:rPr>
        <w:t>，</w:t>
      </w:r>
      <w:r>
        <w:rPr>
          <w:rFonts w:hint="eastAsia" w:ascii="仿宋_GB2312" w:eastAsia="仿宋_GB2312"/>
          <w:sz w:val="32"/>
          <w:szCs w:val="32"/>
          <w:lang w:val="en-US" w:eastAsia="zh-CN"/>
        </w:rPr>
        <w:t>截至目前，已对新区47家用人单位的374个岗位进行监测，发现</w:t>
      </w:r>
      <w:r>
        <w:rPr>
          <w:rFonts w:hint="eastAsia" w:ascii="仿宋_GB2312" w:hAnsi="仿宋_GB2312" w:eastAsia="仿宋_GB2312" w:cs="仿宋_GB2312"/>
          <w:color w:val="auto"/>
          <w:kern w:val="2"/>
          <w:sz w:val="32"/>
          <w:szCs w:val="32"/>
          <w:lang w:val="en-US" w:eastAsia="zh-CN" w:bidi="ar"/>
        </w:rPr>
        <w:t>危害因素超标企业5家，超标岗位数12个，监测合格率93.22%，监测企业危害因素申报率100%。完成新区1260名重点行业劳动者健康素养调查及问卷填报、审核工作。对4家医疗机构医用辐射设备和4家单位4类非医疗放射装置开展防护检测，复测合格率100%。</w:t>
      </w:r>
      <w:r>
        <w:rPr>
          <w:rFonts w:hint="eastAsia" w:ascii="仿宋_GB2312" w:eastAsia="仿宋_GB2312"/>
          <w:sz w:val="32"/>
          <w:szCs w:val="32"/>
        </w:rPr>
        <w:t>指导体检机构开展职业健康检查报告工作，审核辖区职业健康数据12117条</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Style w:val="7"/>
          <w:rFonts w:hint="default"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pPr>
      <w:r>
        <w:rPr>
          <w:rStyle w:val="7"/>
          <w:rFonts w:hint="eastAsia"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t>（四）规范接种，构筑人民健康免疫屏障</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Calibri" w:eastAsia="仿宋_GB2312" w:cs="宋体"/>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1.强化冷链管理，规范疫苗运转。</w:t>
      </w:r>
      <w:r>
        <w:rPr>
          <w:rFonts w:hint="eastAsia" w:ascii="仿宋_GB2312" w:eastAsia="仿宋_GB2312" w:cs="宋体"/>
          <w:kern w:val="2"/>
          <w:sz w:val="32"/>
          <w:szCs w:val="32"/>
          <w:lang w:val="en-US" w:eastAsia="zh-CN" w:bidi="ar-SA"/>
        </w:rPr>
        <w:t>2024年</w:t>
      </w:r>
      <w:r>
        <w:rPr>
          <w:rFonts w:hint="eastAsia" w:ascii="仿宋_GB2312" w:hAnsi="Calibri" w:eastAsia="仿宋_GB2312" w:cs="宋体"/>
          <w:kern w:val="2"/>
          <w:sz w:val="32"/>
          <w:szCs w:val="32"/>
          <w:lang w:val="en-US" w:eastAsia="zh-CN" w:bidi="ar-SA"/>
        </w:rPr>
        <w:t>从省疾控自提运转疫苗</w:t>
      </w:r>
      <w:r>
        <w:rPr>
          <w:rFonts w:hint="eastAsia" w:ascii="仿宋_GB2312" w:eastAsia="仿宋_GB2312" w:cs="宋体"/>
          <w:kern w:val="2"/>
          <w:sz w:val="32"/>
          <w:szCs w:val="32"/>
          <w:lang w:val="en-US" w:eastAsia="zh-CN" w:bidi="ar-SA"/>
        </w:rPr>
        <w:t>9</w:t>
      </w:r>
      <w:r>
        <w:rPr>
          <w:rFonts w:hint="eastAsia" w:ascii="仿宋_GB2312" w:hAnsi="Calibri" w:eastAsia="仿宋_GB2312" w:cs="宋体"/>
          <w:kern w:val="2"/>
          <w:sz w:val="32"/>
          <w:szCs w:val="32"/>
          <w:lang w:val="en-US" w:eastAsia="zh-CN" w:bidi="ar-SA"/>
        </w:rPr>
        <w:t>次，向各预防接种单位发放疫苗运转</w:t>
      </w:r>
      <w:r>
        <w:rPr>
          <w:rFonts w:hint="eastAsia" w:ascii="仿宋_GB2312" w:eastAsia="仿宋_GB2312" w:cs="宋体"/>
          <w:kern w:val="2"/>
          <w:sz w:val="32"/>
          <w:szCs w:val="32"/>
          <w:lang w:val="en-US" w:eastAsia="zh-CN" w:bidi="ar-SA"/>
        </w:rPr>
        <w:t>113</w:t>
      </w:r>
      <w:r>
        <w:rPr>
          <w:rFonts w:hint="eastAsia" w:ascii="仿宋_GB2312" w:hAnsi="Calibri" w:eastAsia="仿宋_GB2312" w:cs="宋体"/>
          <w:kern w:val="2"/>
          <w:sz w:val="32"/>
          <w:szCs w:val="32"/>
          <w:lang w:val="en-US" w:eastAsia="zh-CN" w:bidi="ar-SA"/>
        </w:rPr>
        <w:t>次</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各预防接种单位冷链设施设备运转正常，未发生停电停运、温度超标等异常情况。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bCs/>
          <w:color w:val="000000"/>
          <w:kern w:val="2"/>
          <w:sz w:val="32"/>
          <w:szCs w:val="32"/>
          <w:lang w:val="en-US" w:eastAsia="zh-CN" w:bidi="ar-SA"/>
        </w:rPr>
        <w:t>2.细化疫苗接种，加强异常监测。</w:t>
      </w:r>
      <w:r>
        <w:rPr>
          <w:rFonts w:hint="eastAsia" w:ascii="仿宋_GB2312" w:hAnsi="Calibri" w:eastAsia="仿宋_GB2312" w:cs="宋体"/>
          <w:kern w:val="2"/>
          <w:sz w:val="32"/>
          <w:szCs w:val="32"/>
          <w:lang w:val="en-US" w:eastAsia="zh-CN" w:bidi="ar-SA"/>
        </w:rPr>
        <w:t>2024年共接种疫苗</w:t>
      </w:r>
      <w:r>
        <w:rPr>
          <w:rFonts w:hint="eastAsia" w:ascii="仿宋_GB2312" w:eastAsia="仿宋_GB2312" w:cs="宋体"/>
          <w:kern w:val="2"/>
          <w:sz w:val="32"/>
          <w:szCs w:val="32"/>
          <w:lang w:val="en-US" w:eastAsia="zh-CN" w:bidi="ar-SA"/>
        </w:rPr>
        <w:t>109203</w:t>
      </w:r>
      <w:r>
        <w:rPr>
          <w:rFonts w:hint="eastAsia" w:ascii="仿宋_GB2312" w:hAnsi="Calibri" w:eastAsia="仿宋_GB2312" w:cs="宋体"/>
          <w:kern w:val="2"/>
          <w:sz w:val="32"/>
          <w:szCs w:val="32"/>
          <w:lang w:val="en-US" w:eastAsia="zh-CN" w:bidi="ar-SA"/>
        </w:rPr>
        <w:t>针剂，</w:t>
      </w:r>
      <w:r>
        <w:rPr>
          <w:rFonts w:hint="eastAsia" w:ascii="仿宋_GB2312" w:eastAsia="仿宋_GB2312" w:cs="宋体"/>
          <w:kern w:val="2"/>
          <w:sz w:val="32"/>
          <w:szCs w:val="32"/>
          <w:lang w:val="en-US" w:eastAsia="zh-CN" w:bidi="ar-SA"/>
        </w:rPr>
        <w:t>同比增长4.08%，</w:t>
      </w:r>
      <w:r>
        <w:rPr>
          <w:rFonts w:hint="eastAsia" w:ascii="仿宋_GB2312" w:hAnsi="Calibri" w:eastAsia="仿宋_GB2312" w:cs="宋体"/>
          <w:kern w:val="2"/>
          <w:sz w:val="32"/>
          <w:szCs w:val="32"/>
          <w:lang w:val="en-US" w:eastAsia="zh-CN" w:bidi="ar-SA"/>
        </w:rPr>
        <w:t>其中免疫规划疫苗</w:t>
      </w:r>
      <w:r>
        <w:rPr>
          <w:rFonts w:hint="eastAsia" w:ascii="仿宋_GB2312" w:eastAsia="仿宋_GB2312" w:cs="宋体"/>
          <w:kern w:val="2"/>
          <w:sz w:val="32"/>
          <w:szCs w:val="32"/>
          <w:lang w:val="en-US" w:eastAsia="zh-CN" w:bidi="ar-SA"/>
        </w:rPr>
        <w:t>80952</w:t>
      </w:r>
      <w:r>
        <w:rPr>
          <w:rFonts w:hint="eastAsia" w:ascii="仿宋_GB2312" w:hAnsi="Calibri" w:eastAsia="仿宋_GB2312" w:cs="宋体"/>
          <w:kern w:val="2"/>
          <w:sz w:val="32"/>
          <w:szCs w:val="32"/>
          <w:lang w:val="en-US" w:eastAsia="zh-CN" w:bidi="ar-SA"/>
        </w:rPr>
        <w:t>针剂，非免疫规划疫苗</w:t>
      </w:r>
      <w:r>
        <w:rPr>
          <w:rFonts w:hint="eastAsia" w:ascii="仿宋_GB2312" w:eastAsia="仿宋_GB2312" w:cs="宋体"/>
          <w:kern w:val="2"/>
          <w:sz w:val="32"/>
          <w:szCs w:val="32"/>
          <w:lang w:val="en-US" w:eastAsia="zh-CN" w:bidi="ar-SA"/>
        </w:rPr>
        <w:t>28251</w:t>
      </w:r>
      <w:r>
        <w:rPr>
          <w:rFonts w:hint="eastAsia" w:ascii="仿宋_GB2312" w:hAnsi="Calibri" w:eastAsia="仿宋_GB2312" w:cs="宋体"/>
          <w:kern w:val="2"/>
          <w:sz w:val="32"/>
          <w:szCs w:val="32"/>
          <w:lang w:val="en-US" w:eastAsia="zh-CN" w:bidi="ar-SA"/>
        </w:rPr>
        <w:t>针剂。疑似预防接种异常反应监测系统运行正常，新区AEFI报告</w:t>
      </w:r>
      <w:r>
        <w:rPr>
          <w:rFonts w:hint="eastAsia" w:ascii="仿宋_GB2312" w:eastAsia="仿宋_GB2312" w:cs="宋体"/>
          <w:kern w:val="2"/>
          <w:sz w:val="32"/>
          <w:szCs w:val="32"/>
          <w:lang w:val="en-US" w:eastAsia="zh-CN" w:bidi="ar-SA"/>
        </w:rPr>
        <w:t>48</w:t>
      </w:r>
      <w:r>
        <w:rPr>
          <w:rFonts w:hint="eastAsia" w:ascii="仿宋_GB2312" w:hAnsi="Calibri" w:eastAsia="仿宋_GB2312" w:cs="宋体"/>
          <w:kern w:val="2"/>
          <w:sz w:val="32"/>
          <w:szCs w:val="32"/>
          <w:lang w:val="en-US" w:eastAsia="zh-CN" w:bidi="ar-SA"/>
        </w:rPr>
        <w:t>例</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47例为一般反应，1例为偶合症</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。报告及时率100%，AEFI分类率100%，乡镇覆盖率100%。</w:t>
      </w:r>
      <w:r>
        <w:rPr>
          <w:rFonts w:hint="eastAsia" w:ascii="仿宋_GB2312" w:eastAsia="仿宋_GB2312"/>
          <w:sz w:val="32"/>
          <w:szCs w:val="32"/>
        </w:rPr>
        <w:t>AFP病例报告监测系统运行正常，各医疗机构无AFP病例报告。</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ascii="仿宋_GB2312" w:hAnsi="Calibri" w:eastAsia="仿宋_GB2312" w:cs="宋体"/>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3.积极接种查验，筑牢免疫屏障。</w:t>
      </w:r>
      <w:r>
        <w:rPr>
          <w:rFonts w:hint="eastAsia" w:ascii="仿宋_GB2312" w:hAnsi="Calibri" w:eastAsia="仿宋_GB2312" w:cs="宋体"/>
          <w:kern w:val="2"/>
          <w:sz w:val="32"/>
          <w:szCs w:val="32"/>
          <w:lang w:val="en-US" w:eastAsia="zh-CN" w:bidi="ar-SA"/>
        </w:rPr>
        <w:t>2024年查验托幼机构</w:t>
      </w:r>
      <w:r>
        <w:rPr>
          <w:rFonts w:hint="eastAsia" w:ascii="仿宋_GB2312" w:eastAsia="仿宋_GB2312" w:cs="宋体"/>
          <w:kern w:val="2"/>
          <w:sz w:val="32"/>
          <w:szCs w:val="32"/>
          <w:lang w:val="en-US" w:eastAsia="zh-CN" w:bidi="ar-SA"/>
        </w:rPr>
        <w:t>和小学99所</w:t>
      </w:r>
      <w:r>
        <w:rPr>
          <w:rFonts w:hint="eastAsia" w:ascii="仿宋_GB2312" w:hAnsi="Calibri" w:eastAsia="仿宋_GB2312" w:cs="宋体"/>
          <w:kern w:val="2"/>
          <w:sz w:val="32"/>
          <w:szCs w:val="32"/>
          <w:lang w:val="en-US" w:eastAsia="zh-CN" w:bidi="ar-SA"/>
        </w:rPr>
        <w:t>，查验覆盖率100%</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预防接种证查验工作补种率＞95%，有效提高了新区儿童疫苗接种率，增强了儿童免疫屏障，减少了疫苗针对传染病在托幼机构和学校的暴发流行风险</w:t>
      </w:r>
      <w:r>
        <w:rPr>
          <w:rFonts w:hint="eastAsia" w:ascii="仿宋_GB2312" w:eastAsia="仿宋_GB2312" w:cs="宋体"/>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Style w:val="7"/>
          <w:rFonts w:hint="default"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pPr>
      <w:r>
        <w:rPr>
          <w:rStyle w:val="7"/>
          <w:rFonts w:hint="eastAsia"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t>（五）检验赋能，精准数据助力科学决策</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ascii="仿宋_GB2312" w:eastAsia="仿宋_GB2312"/>
          <w:b/>
          <w:bCs/>
          <w:sz w:val="32"/>
          <w:szCs w:val="32"/>
          <w:highlight w:val="none"/>
          <w:lang w:val="en-US"/>
        </w:rPr>
      </w:pPr>
      <w:r>
        <w:rPr>
          <w:rFonts w:hint="eastAsia" w:ascii="仿宋_GB2312" w:hAnsi="仿宋_GB2312" w:eastAsia="仿宋_GB2312" w:cs="仿宋_GB2312"/>
          <w:b/>
          <w:bCs/>
          <w:color w:val="000000"/>
          <w:kern w:val="2"/>
          <w:sz w:val="32"/>
          <w:szCs w:val="32"/>
          <w:lang w:val="en-US" w:eastAsia="zh-CN" w:bidi="ar-SA"/>
        </w:rPr>
        <w:t>1.加快实验建设，通过能力认证。</w:t>
      </w:r>
      <w:r>
        <w:rPr>
          <w:rFonts w:hint="eastAsia" w:ascii="仿宋_GB2312" w:hAnsi="Calibri" w:eastAsia="仿宋_GB2312" w:cs="宋体"/>
          <w:kern w:val="2"/>
          <w:sz w:val="32"/>
          <w:szCs w:val="32"/>
          <w:lang w:val="en-US" w:eastAsia="zh-CN" w:bidi="ar-SA"/>
        </w:rPr>
        <w:t>2024年已完成</w:t>
      </w:r>
      <w:r>
        <w:rPr>
          <w:rFonts w:hint="eastAsia" w:ascii="仿宋_GB2312" w:eastAsia="仿宋_GB2312" w:cs="宋体"/>
          <w:kern w:val="2"/>
          <w:sz w:val="32"/>
          <w:szCs w:val="32"/>
          <w:lang w:val="en-US" w:eastAsia="zh-CN" w:bidi="ar-SA"/>
        </w:rPr>
        <w:t>520万元实验室检测设备采购及安装调试。</w:t>
      </w:r>
      <w:r>
        <w:rPr>
          <w:rFonts w:hint="eastAsia" w:ascii="仿宋_GB2312" w:hAnsi="Calibri" w:eastAsia="仿宋_GB2312" w:cs="宋体"/>
          <w:kern w:val="2"/>
          <w:sz w:val="32"/>
          <w:szCs w:val="32"/>
          <w:lang w:val="en-US" w:eastAsia="zh-CN" w:bidi="ar-SA"/>
        </w:rPr>
        <w:t>5月</w:t>
      </w:r>
      <w:r>
        <w:rPr>
          <w:rFonts w:hint="eastAsia" w:ascii="仿宋_GB2312" w:eastAsia="仿宋_GB2312" w:cs="宋体"/>
          <w:kern w:val="2"/>
          <w:sz w:val="32"/>
          <w:szCs w:val="32"/>
          <w:lang w:val="en-US" w:eastAsia="zh-CN" w:bidi="ar-SA"/>
        </w:rPr>
        <w:t>顺利通过</w:t>
      </w:r>
      <w:r>
        <w:rPr>
          <w:rFonts w:hint="eastAsia" w:ascii="仿宋_GB2312" w:hAnsi="Calibri" w:eastAsia="仿宋_GB2312" w:cs="宋体"/>
          <w:kern w:val="2"/>
          <w:sz w:val="32"/>
          <w:szCs w:val="32"/>
          <w:lang w:val="en-US" w:eastAsia="zh-CN" w:bidi="ar-SA"/>
        </w:rPr>
        <w:t>省级评审组现场评审</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目前已取得水质检测项目</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44项</w:t>
      </w:r>
      <w:r>
        <w:rPr>
          <w:rFonts w:hint="eastAsia" w:ascii="仿宋_GB2312" w:eastAsia="仿宋_GB2312" w:cs="宋体"/>
          <w:kern w:val="2"/>
          <w:sz w:val="32"/>
          <w:szCs w:val="32"/>
          <w:lang w:val="en-US" w:eastAsia="zh-CN" w:bidi="ar-SA"/>
        </w:rPr>
        <w:t>）</w:t>
      </w:r>
      <w:r>
        <w:rPr>
          <w:rFonts w:hint="eastAsia" w:ascii="仿宋_GB2312" w:hAnsi="Calibri" w:eastAsia="仿宋_GB2312" w:cs="宋体"/>
          <w:kern w:val="2"/>
          <w:sz w:val="32"/>
          <w:szCs w:val="32"/>
          <w:lang w:val="en-US" w:eastAsia="zh-CN" w:bidi="ar-SA"/>
        </w:rPr>
        <w:t>检验检测机构资质认定证书（CMA证书）</w:t>
      </w:r>
      <w:r>
        <w:rPr>
          <w:rFonts w:hint="eastAsia" w:ascii="仿宋_GB2312" w:eastAsia="仿宋_GB2312" w:cs="宋体"/>
          <w:kern w:val="2"/>
          <w:sz w:val="32"/>
          <w:szCs w:val="32"/>
          <w:lang w:val="en-US" w:eastAsia="zh-CN" w:bidi="ar-SA"/>
        </w:rPr>
        <w:t>；11月中心实验室在全国碘缺乏病盲样质控考核中被国家碘缺乏病参照实验室授予“全国质控网络盐碘、尿碘合格实验室”称号；同时也通过省疾控中心“2024年度甘肃省检测实验室梅毒抗体血清监测能力验证”，并授予合格证书。</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2.开展专项监测，强化病原检测。</w:t>
      </w:r>
      <w:r>
        <w:rPr>
          <w:rFonts w:hint="eastAsia" w:ascii="仿宋_GB2312" w:eastAsia="仿宋_GB2312" w:cs="宋体"/>
          <w:kern w:val="2"/>
          <w:sz w:val="32"/>
          <w:szCs w:val="32"/>
          <w:lang w:val="en-US" w:eastAsia="zh-CN" w:bidi="ar-SA"/>
        </w:rPr>
        <w:t>开展新冠、猴痘病毒感染专项监测2项，检测新区</w:t>
      </w:r>
      <w:r>
        <w:rPr>
          <w:rFonts w:hint="eastAsia" w:ascii="仿宋_GB2312" w:eastAsia="仿宋_GB2312"/>
          <w:sz w:val="32"/>
          <w:szCs w:val="32"/>
          <w:highlight w:val="none"/>
        </w:rPr>
        <w:t>第一污水处理厂</w:t>
      </w:r>
      <w:r>
        <w:rPr>
          <w:rFonts w:hint="eastAsia" w:ascii="仿宋_GB2312" w:eastAsia="仿宋_GB2312"/>
          <w:sz w:val="32"/>
          <w:szCs w:val="32"/>
          <w:highlight w:val="none"/>
          <w:lang w:val="en-US" w:eastAsia="zh-CN"/>
        </w:rPr>
        <w:t>新冠污水样本138份；航班</w:t>
      </w:r>
      <w:r>
        <w:rPr>
          <w:rFonts w:hint="eastAsia" w:ascii="仿宋_GB2312" w:eastAsia="仿宋_GB2312" w:cs="宋体"/>
          <w:kern w:val="2"/>
          <w:sz w:val="32"/>
          <w:szCs w:val="32"/>
          <w:lang w:val="en-US" w:eastAsia="zh-CN" w:bidi="ar-SA"/>
        </w:rPr>
        <w:t>新冠、猴痘</w:t>
      </w:r>
      <w:r>
        <w:rPr>
          <w:rFonts w:hint="eastAsia" w:ascii="仿宋_GB2312" w:eastAsia="仿宋_GB2312"/>
          <w:sz w:val="32"/>
          <w:szCs w:val="32"/>
          <w:highlight w:val="none"/>
          <w:lang w:val="en-US" w:eastAsia="zh-CN"/>
        </w:rPr>
        <w:t>污水</w:t>
      </w:r>
      <w:r>
        <w:rPr>
          <w:rFonts w:hint="eastAsia" w:ascii="仿宋_GB2312" w:eastAsia="仿宋_GB2312" w:cs="宋体"/>
          <w:kern w:val="2"/>
          <w:sz w:val="32"/>
          <w:szCs w:val="32"/>
          <w:lang w:val="en-US" w:eastAsia="zh-CN" w:bidi="ar-SA"/>
        </w:rPr>
        <w:t>样本226</w:t>
      </w:r>
      <w:r>
        <w:rPr>
          <w:rFonts w:hint="eastAsia" w:ascii="仿宋_GB2312" w:eastAsia="仿宋_GB2312"/>
          <w:sz w:val="32"/>
          <w:szCs w:val="32"/>
          <w:highlight w:val="none"/>
          <w:lang w:val="en-US" w:eastAsia="zh-CN"/>
        </w:rPr>
        <w:t>份，均为阴性。累计检测病原学样本3142份（其中流感868份；新冠1171份；腹泻287份；麻疹3份；风疹3份；布鲁氏菌血清651份；包虫病血清22份；手足口病毒121份；丙肝血清16份）。累计向甘肃省疾控中心送检艾滋病样本20份、新冠测序样本117份、手足口病毒复核样本48份。</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eastAsia="仿宋_GB2312"/>
          <w:b/>
          <w:bCs/>
          <w:sz w:val="32"/>
          <w:szCs w:val="32"/>
          <w:highlight w:val="none"/>
        </w:rPr>
      </w:pPr>
      <w:r>
        <w:rPr>
          <w:rFonts w:hint="eastAsia" w:ascii="仿宋_GB2312" w:eastAsia="仿宋_GB2312"/>
          <w:b/>
          <w:bCs/>
          <w:sz w:val="32"/>
          <w:szCs w:val="32"/>
          <w:highlight w:val="none"/>
          <w:lang w:val="en-US" w:eastAsia="zh-CN"/>
        </w:rPr>
        <w:t>3.加强交流学习，提升检验能力。</w:t>
      </w:r>
      <w:r>
        <w:rPr>
          <w:rFonts w:hint="eastAsia" w:ascii="仿宋_GB2312" w:eastAsia="仿宋_GB2312"/>
          <w:sz w:val="32"/>
          <w:szCs w:val="32"/>
          <w:highlight w:val="none"/>
          <w:lang w:val="en-US" w:eastAsia="zh-CN"/>
        </w:rPr>
        <w:t>2024年协调省疾控中心、省食品检验研究院、兰州、白银等市县疾控中心学习交流10次，总计50余人次；参加检验标准提升、地方病检测、现场流行病学检测等各类现场培训会议20余场，不断提升实验人员检验检测综合能力。</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Style w:val="7"/>
          <w:rFonts w:hint="default"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pPr>
      <w:r>
        <w:rPr>
          <w:rStyle w:val="7"/>
          <w:rFonts w:hint="eastAsia"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t>（六）提升素养，弘扬健康中国时代风尚</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b/>
          <w:bCs/>
          <w:sz w:val="32"/>
          <w:szCs w:val="32"/>
          <w:highlight w:val="none"/>
          <w:lang w:val="en-US" w:eastAsia="zh-CN"/>
        </w:rPr>
        <w:t>1.加强人员培养，提升业务素质。</w:t>
      </w:r>
      <w:r>
        <w:rPr>
          <w:rFonts w:hint="eastAsia" w:ascii="仿宋_GB2312" w:hAnsi="仿宋_GB2312" w:eastAsia="仿宋_GB2312" w:cs="仿宋_GB2312"/>
          <w:color w:val="auto"/>
          <w:sz w:val="32"/>
          <w:szCs w:val="32"/>
          <w:highlight w:val="none"/>
          <w:lang w:val="en-US" w:eastAsia="zh-CN"/>
        </w:rPr>
        <w:t>为全面提升中心党员干部的专业素养与业务能力，2024年共组织开展内部业务学习8次，外派干部职工参加甘肃省传染病报告管理、监测预警、结核病艾滋病防治、肿瘤数据审核培训、政府采购、财务管理、党员素质能力提升等省、市、新区级各类培训80余次，总计200余人次，坚持学习与实践相结合、培育与用法相结合，不断促进干部职工以学增智，以践促行。</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Style w:val="7"/>
          <w:rFonts w:hint="eastAsia" w:ascii="楷体_GB2312" w:hAnsi="楷体_GB2312" w:eastAsia="楷体_GB2312" w:cs="楷体_GB2312"/>
          <w:b w:val="0"/>
          <w:bCs w:val="0"/>
          <w:i w:val="0"/>
          <w:iCs w:val="0"/>
          <w:caps w:val="0"/>
          <w:color w:val="333333"/>
          <w:spacing w:val="0"/>
          <w:kern w:val="2"/>
          <w:sz w:val="32"/>
          <w:szCs w:val="32"/>
          <w:shd w:val="clear" w:color="auto" w:fill="FFFFFF"/>
          <w:lang w:val="en-US" w:eastAsia="zh-CN" w:bidi="ar-SA"/>
        </w:rPr>
      </w:pPr>
      <w:r>
        <w:rPr>
          <w:rFonts w:hint="eastAsia" w:ascii="仿宋_GB2312" w:eastAsia="仿宋_GB2312"/>
          <w:b/>
          <w:bCs/>
          <w:sz w:val="32"/>
          <w:szCs w:val="32"/>
          <w:highlight w:val="none"/>
          <w:lang w:val="en-US" w:eastAsia="zh-CN"/>
        </w:rPr>
        <w:t>2.加强健康宣教，提升全民素养。</w:t>
      </w:r>
      <w:r>
        <w:rPr>
          <w:rFonts w:hint="eastAsia" w:ascii="仿宋_GB2312" w:hAnsi="仿宋_GB2312" w:eastAsia="仿宋_GB2312" w:cs="仿宋_GB2312"/>
          <w:color w:val="auto"/>
          <w:sz w:val="32"/>
          <w:szCs w:val="32"/>
          <w:highlight w:val="none"/>
          <w:lang w:val="en-US" w:eastAsia="zh-CN"/>
        </w:rPr>
        <w:t>为推动落实“全民健康素养提升三年行动（2024-2027）”和《“健康甘肃2030”规划》，2024年我中心</w:t>
      </w:r>
      <w:r>
        <w:rPr>
          <w:rFonts w:hint="eastAsia" w:ascii="仿宋_GB2312" w:hAnsi="仿宋_GB2312" w:eastAsia="仿宋_GB2312" w:cs="仿宋_GB2312"/>
          <w:kern w:val="2"/>
          <w:sz w:val="32"/>
          <w:szCs w:val="32"/>
          <w:lang w:val="en-US" w:eastAsia="zh-CN" w:bidi="ar-SA"/>
        </w:rPr>
        <w:t>联合多部门</w:t>
      </w:r>
      <w:r>
        <w:rPr>
          <w:rFonts w:hint="eastAsia" w:ascii="仿宋_GB2312" w:hAnsi="仿宋_GB2312" w:eastAsia="仿宋_GB2312" w:cs="仿宋_GB2312"/>
          <w:color w:val="auto"/>
          <w:sz w:val="32"/>
          <w:szCs w:val="32"/>
          <w:highlight w:val="none"/>
          <w:lang w:val="en-US" w:eastAsia="zh-CN"/>
        </w:rPr>
        <w:t>深入</w:t>
      </w:r>
      <w:r>
        <w:rPr>
          <w:rFonts w:hint="eastAsia" w:ascii="仿宋_GB2312" w:eastAsia="仿宋_GB2312"/>
          <w:b w:val="0"/>
          <w:bCs w:val="0"/>
          <w:sz w:val="32"/>
          <w:szCs w:val="32"/>
          <w:highlight w:val="none"/>
          <w:lang w:val="en-US" w:eastAsia="zh-CN"/>
        </w:rPr>
        <w:t>机场、监狱、学校、市政、社区、企业、家庭开展</w:t>
      </w:r>
      <w:r>
        <w:rPr>
          <w:rFonts w:hint="eastAsia" w:ascii="仿宋_GB2312" w:hAnsi="仿宋_GB2312" w:eastAsia="仿宋_GB2312" w:cs="仿宋_GB2312"/>
          <w:kern w:val="2"/>
          <w:sz w:val="32"/>
          <w:szCs w:val="32"/>
          <w:lang w:val="en-US" w:eastAsia="zh-CN" w:bidi="ar-SA"/>
        </w:rPr>
        <w:t>“世界防治结核病日”</w:t>
      </w:r>
      <w:r>
        <w:rPr>
          <w:rFonts w:hint="eastAsia" w:ascii="仿宋_GB2312" w:eastAsia="仿宋_GB2312"/>
          <w:b w:val="0"/>
          <w:bCs w:val="0"/>
          <w:sz w:val="32"/>
          <w:szCs w:val="32"/>
          <w:highlight w:val="none"/>
          <w:lang w:val="en-US" w:eastAsia="zh-CN"/>
        </w:rPr>
        <w:t>“儿童预防接种日”“世界食品安全日”“</w:t>
      </w:r>
      <w:r>
        <w:rPr>
          <w:rFonts w:hint="eastAsia" w:ascii="仿宋_GB2312" w:hAnsi="仿宋_GB2312" w:eastAsia="仿宋_GB2312" w:cs="仿宋_GB2312"/>
          <w:sz w:val="32"/>
          <w:szCs w:val="32"/>
          <w:lang w:val="en-US" w:eastAsia="zh-CN"/>
        </w:rPr>
        <w:t>世界艾滋病日</w:t>
      </w:r>
      <w:r>
        <w:rPr>
          <w:rFonts w:hint="eastAsia" w:ascii="仿宋_GB2312" w:eastAsia="仿宋_GB2312"/>
          <w:b w:val="0"/>
          <w:bCs w:val="0"/>
          <w:sz w:val="32"/>
          <w:szCs w:val="32"/>
          <w:highlight w:val="none"/>
          <w:lang w:val="en-US" w:eastAsia="zh-CN"/>
        </w:rPr>
        <w:t>”等各类传染病、慢性病、职业病健康宣教活动156场次，针对学校开展“开学第一课”15场次，</w:t>
      </w:r>
      <w:r>
        <w:rPr>
          <w:rFonts w:hint="eastAsia" w:ascii="仿宋_GB2312" w:eastAsia="仿宋_GB2312"/>
          <w:sz w:val="32"/>
          <w:szCs w:val="32"/>
          <w:lang w:val="en-US" w:eastAsia="zh-CN"/>
        </w:rPr>
        <w:t>通过中心微信公众号发布月度疫情提示12篇，健康科普及政策知识327篇，制作结核、艾滋、肿瘤短视频3部，</w:t>
      </w:r>
      <w:r>
        <w:rPr>
          <w:rFonts w:hint="eastAsia" w:ascii="仿宋_GB2312" w:eastAsia="仿宋_GB2312"/>
          <w:b w:val="0"/>
          <w:bCs w:val="0"/>
          <w:sz w:val="32"/>
          <w:szCs w:val="32"/>
          <w:highlight w:val="none"/>
          <w:lang w:val="en-US" w:eastAsia="zh-CN"/>
        </w:rPr>
        <w:t>发放各类</w:t>
      </w:r>
      <w:r>
        <w:rPr>
          <w:rFonts w:hint="eastAsia" w:ascii="仿宋_GB2312" w:eastAsia="仿宋_GB2312"/>
          <w:sz w:val="32"/>
          <w:szCs w:val="32"/>
          <w:lang w:val="en-US" w:eastAsia="zh-CN"/>
        </w:rPr>
        <w:t>健康</w:t>
      </w:r>
      <w:r>
        <w:rPr>
          <w:rFonts w:hint="eastAsia" w:ascii="仿宋_GB2312" w:eastAsia="仿宋_GB2312"/>
          <w:b w:val="0"/>
          <w:bCs w:val="0"/>
          <w:sz w:val="32"/>
          <w:szCs w:val="32"/>
          <w:highlight w:val="none"/>
          <w:lang w:val="en-US" w:eastAsia="zh-CN"/>
        </w:rPr>
        <w:t>宣传手册5万余册、各类健康促进品5万余份，累计受众40余万人；</w:t>
      </w:r>
      <w:r>
        <w:rPr>
          <w:rFonts w:hint="eastAsia" w:ascii="仿宋_GB2312" w:eastAsia="仿宋_GB2312"/>
          <w:sz w:val="32"/>
          <w:szCs w:val="32"/>
        </w:rPr>
        <w:t>组织新区中小学生参加</w:t>
      </w:r>
      <w:r>
        <w:rPr>
          <w:rFonts w:hint="eastAsia" w:ascii="仿宋_GB2312" w:eastAsia="仿宋_GB2312"/>
          <w:sz w:val="32"/>
          <w:szCs w:val="32"/>
          <w:lang w:val="en-US" w:eastAsia="zh-CN"/>
        </w:rPr>
        <w:t>全国“环境健康杯”征文绘画比赛</w:t>
      </w:r>
      <w:r>
        <w:rPr>
          <w:rFonts w:hint="eastAsia" w:ascii="仿宋_GB2312" w:eastAsia="仿宋_GB2312"/>
          <w:sz w:val="32"/>
          <w:szCs w:val="32"/>
          <w:lang w:eastAsia="zh-CN"/>
        </w:rPr>
        <w:t>，</w:t>
      </w:r>
      <w:r>
        <w:rPr>
          <w:rFonts w:hint="eastAsia" w:ascii="仿宋_GB2312" w:eastAsia="仿宋_GB2312"/>
          <w:sz w:val="32"/>
          <w:szCs w:val="32"/>
          <w:lang w:val="en-US" w:eastAsia="zh-CN"/>
        </w:rPr>
        <w:t>4幅作品获得国家级奖项。</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Style w:val="7"/>
          <w:rFonts w:hint="eastAsia" w:ascii="黑体" w:hAnsi="黑体" w:eastAsia="黑体" w:cs="黑体"/>
          <w:b w:val="0"/>
          <w:bCs w:val="0"/>
          <w:i w:val="0"/>
          <w:iCs w:val="0"/>
          <w:caps w:val="0"/>
          <w:color w:val="333333"/>
          <w:spacing w:val="0"/>
          <w:kern w:val="2"/>
          <w:sz w:val="32"/>
          <w:szCs w:val="32"/>
          <w:shd w:val="clear" w:color="auto" w:fill="FFFFFF"/>
          <w:lang w:val="en-US" w:eastAsia="zh-CN" w:bidi="ar-SA"/>
        </w:rPr>
      </w:pPr>
      <w:r>
        <w:rPr>
          <w:rStyle w:val="7"/>
          <w:rFonts w:hint="eastAsia" w:ascii="黑体" w:hAnsi="黑体" w:eastAsia="黑体" w:cs="黑体"/>
          <w:b w:val="0"/>
          <w:bCs w:val="0"/>
          <w:i w:val="0"/>
          <w:iCs w:val="0"/>
          <w:caps w:val="0"/>
          <w:color w:val="333333"/>
          <w:spacing w:val="0"/>
          <w:kern w:val="2"/>
          <w:sz w:val="32"/>
          <w:szCs w:val="32"/>
          <w:shd w:val="clear" w:color="auto" w:fill="FFFFFF"/>
          <w:lang w:val="en-US" w:eastAsia="zh-CN" w:bidi="ar-SA"/>
        </w:rPr>
        <w:t>二、部门整体支出绩效自评情况分析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Times New Roman" w:eastAsia="楷体_GB2312" w:cs="Times New Roman"/>
          <w:bCs/>
          <w:sz w:val="32"/>
          <w:szCs w:val="32"/>
          <w:lang w:eastAsia="zh-CN"/>
        </w:rPr>
        <w:t>（一）</w:t>
      </w:r>
      <w:r>
        <w:rPr>
          <w:rFonts w:hint="eastAsia" w:ascii="楷体_GB2312" w:hAnsi="楷体_GB2312" w:eastAsia="楷体_GB2312" w:cs="楷体_GB2312"/>
          <w:kern w:val="2"/>
          <w:sz w:val="32"/>
          <w:szCs w:val="32"/>
          <w:lang w:val="en-US" w:eastAsia="zh-CN" w:bidi="ar-SA"/>
        </w:rPr>
        <w:t>部门决算情况</w:t>
      </w:r>
      <w:r>
        <w:rPr>
          <w:rFonts w:hint="eastAsia" w:ascii="楷体_GB2312" w:hAnsi="Times New Roman" w:eastAsia="楷体_GB2312" w:cs="Times New Roman"/>
          <w:bCs/>
          <w:sz w:val="32"/>
          <w:szCs w:val="32"/>
          <w:lang w:val="en-US" w:eastAsia="zh-CN"/>
        </w:rPr>
        <w:t>。</w:t>
      </w:r>
      <w:r>
        <w:rPr>
          <w:rFonts w:hint="eastAsia" w:ascii="仿宋_GB2312" w:hAnsi="仿宋_GB2312" w:eastAsia="仿宋_GB2312" w:cs="仿宋_GB2312"/>
          <w:kern w:val="2"/>
          <w:sz w:val="32"/>
          <w:szCs w:val="32"/>
          <w:lang w:val="en-US" w:eastAsia="zh-CN" w:bidi="ar-SA"/>
        </w:rPr>
        <w:t>2024年度兰州新区疾控中心收入合计1563.36万元。其中一般公共预算财政拨款收入1225.56万元，其他收入3万元，年初结转结余334.80万元。2024年度支出合计1563.36万元，其中人员经费支出194.27万元，公用经费支出18.45万元，项目支出1332.42万元，年末结转结余18.22万元。</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（二）总体绩效目标完成情况。</w:t>
      </w:r>
      <w:r>
        <w:rPr>
          <w:rFonts w:hint="eastAsia" w:ascii="仿宋_GB2312" w:hAnsi="仿宋_GB2312" w:eastAsia="仿宋_GB2312" w:cs="仿宋_GB2312"/>
          <w:kern w:val="2"/>
          <w:sz w:val="32"/>
          <w:szCs w:val="32"/>
          <w:lang w:val="en-US" w:eastAsia="zh-CN" w:bidi="ar-SA"/>
        </w:rPr>
        <w:t>2024年度兰州新区疾控中心</w:t>
      </w:r>
      <w:r>
        <w:rPr>
          <w:rFonts w:hint="default" w:ascii="仿宋_GB2312" w:hAnsi="仿宋_GB2312" w:eastAsia="仿宋_GB2312" w:cs="仿宋_GB2312"/>
          <w:kern w:val="2"/>
          <w:sz w:val="32"/>
          <w:szCs w:val="32"/>
          <w:lang w:val="en-US" w:eastAsia="zh-CN" w:bidi="ar-SA"/>
        </w:rPr>
        <w:t>结合履职工作实际，从部门管理、履职效果</w:t>
      </w:r>
      <w:r>
        <w:rPr>
          <w:rFonts w:hint="eastAsia" w:ascii="仿宋_GB2312" w:hAnsi="仿宋_GB2312" w:eastAsia="仿宋_GB2312" w:cs="仿宋_GB2312"/>
          <w:kern w:val="2"/>
          <w:sz w:val="32"/>
          <w:szCs w:val="32"/>
          <w:lang w:val="en-US" w:eastAsia="zh-CN" w:bidi="ar-SA"/>
        </w:rPr>
        <w:t>和</w:t>
      </w:r>
      <w:r>
        <w:rPr>
          <w:rFonts w:hint="default" w:ascii="仿宋_GB2312" w:hAnsi="仿宋_GB2312" w:eastAsia="仿宋_GB2312" w:cs="仿宋_GB2312"/>
          <w:kern w:val="2"/>
          <w:sz w:val="32"/>
          <w:szCs w:val="32"/>
          <w:lang w:val="en-US" w:eastAsia="zh-CN" w:bidi="ar-SA"/>
        </w:rPr>
        <w:t>能力建设</w:t>
      </w: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个方面开展部门整体支出绩效自评。经对各项履职工作相关资料的整理、汇总分析，综合评分为</w:t>
      </w:r>
      <w:r>
        <w:rPr>
          <w:rFonts w:hint="eastAsia" w:ascii="仿宋_GB2312" w:hAnsi="仿宋_GB2312" w:eastAsia="仿宋_GB2312" w:cs="仿宋_GB2312"/>
          <w:kern w:val="2"/>
          <w:sz w:val="32"/>
          <w:szCs w:val="32"/>
          <w:lang w:val="en-US" w:eastAsia="zh-CN" w:bidi="ar-SA"/>
        </w:rPr>
        <w:t>94.96</w:t>
      </w:r>
      <w:r>
        <w:rPr>
          <w:rFonts w:hint="default" w:ascii="仿宋_GB2312" w:hAnsi="仿宋_GB2312" w:eastAsia="仿宋_GB2312" w:cs="仿宋_GB2312"/>
          <w:kern w:val="2"/>
          <w:sz w:val="32"/>
          <w:szCs w:val="32"/>
          <w:lang w:val="en-US" w:eastAsia="zh-CN" w:bidi="ar-SA"/>
        </w:rPr>
        <w:t>分。各项指标完成情况分析如下：</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1.整体资金支出情况</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年度资金总额支出</w:t>
      </w:r>
      <w:r>
        <w:rPr>
          <w:rFonts w:hint="default" w:ascii="仿宋_GB2312" w:hAnsi="仿宋_GB2312" w:eastAsia="仿宋_GB2312" w:cs="仿宋_GB2312"/>
          <w:kern w:val="2"/>
          <w:sz w:val="32"/>
          <w:szCs w:val="32"/>
          <w:lang w:val="en-US" w:eastAsia="zh-CN" w:bidi="ar-SA"/>
        </w:rPr>
        <w:t>指标分值</w:t>
      </w:r>
      <w:r>
        <w:rPr>
          <w:rFonts w:hint="eastAsia" w:ascii="仿宋_GB2312" w:hAnsi="仿宋_GB2312" w:eastAsia="仿宋_GB2312" w:cs="仿宋_GB2312"/>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分</w:t>
      </w:r>
      <w:r>
        <w:rPr>
          <w:rFonts w:hint="eastAsia" w:ascii="仿宋_GB2312" w:hAnsi="仿宋_GB2312" w:eastAsia="仿宋_GB2312" w:cs="仿宋_GB2312"/>
          <w:kern w:val="2"/>
          <w:sz w:val="32"/>
          <w:szCs w:val="32"/>
          <w:lang w:val="en-US" w:eastAsia="zh-CN" w:bidi="ar-SA"/>
        </w:rPr>
        <w:t>，执行率88.68%，得分8.86分。人员经费未完成原因是职工2024年度绩效奖金、10-12月绩效工资在2025年进行发放；公用经费未完成原因是福利费部分用于支付职工互助保障业务会费，剩余部分全部上缴；项目支出未完成原因是业务支出优先使用中央转移支付经费，中央转移支付经费结余部分2025年继续支出。</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.部门管理</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部门管理指标分值20分，从资金投入、财务管理、采购管理、人员管理</w:t>
      </w:r>
      <w:r>
        <w:rPr>
          <w:rFonts w:hint="eastAsia" w:ascii="仿宋_GB2312" w:hAnsi="仿宋_GB2312" w:eastAsia="仿宋_GB2312" w:cs="仿宋_GB2312"/>
          <w:kern w:val="2"/>
          <w:sz w:val="32"/>
          <w:szCs w:val="32"/>
          <w:lang w:val="en-US" w:eastAsia="zh-CN" w:bidi="ar-SA"/>
        </w:rPr>
        <w:t>、重点工作管理</w:t>
      </w:r>
      <w:r>
        <w:rPr>
          <w:rFonts w:hint="default" w:ascii="仿宋_GB2312" w:hAnsi="仿宋_GB2312" w:eastAsia="仿宋_GB2312" w:cs="仿宋_GB2312"/>
          <w:kern w:val="2"/>
          <w:sz w:val="32"/>
          <w:szCs w:val="32"/>
          <w:lang w:val="en-US" w:eastAsia="zh-CN" w:bidi="ar-SA"/>
        </w:rPr>
        <w:t>及资产管理六方面进行自评分析，得分为</w:t>
      </w:r>
      <w:r>
        <w:rPr>
          <w:rFonts w:hint="eastAsia" w:ascii="仿宋_GB2312" w:hAnsi="仿宋_GB2312" w:eastAsia="仿宋_GB2312" w:cs="仿宋_GB2312"/>
          <w:kern w:val="2"/>
          <w:sz w:val="32"/>
          <w:szCs w:val="32"/>
          <w:lang w:val="en-US" w:eastAsia="zh-CN" w:bidi="ar-SA"/>
        </w:rPr>
        <w:t>19</w:t>
      </w:r>
      <w:r>
        <w:rPr>
          <w:rFonts w:hint="default" w:ascii="仿宋_GB2312" w:hAnsi="仿宋_GB2312" w:eastAsia="仿宋_GB2312" w:cs="仿宋_GB2312"/>
          <w:kern w:val="2"/>
          <w:sz w:val="32"/>
          <w:szCs w:val="32"/>
          <w:lang w:val="en-US" w:eastAsia="zh-CN" w:bidi="ar-SA"/>
        </w:rPr>
        <w:t>分。为进一步规范和加强行政事业性国有资产管理，维护资产的安全和完整，提高资产使用效益，我中心将进一步完善资产配置、资产使用和管理、资产处置等内容进行明确及制定相关制度，并根据相关要求按期完成资产清查工作。</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3.履职效果</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履职效果</w:t>
      </w:r>
      <w:r>
        <w:rPr>
          <w:rFonts w:hint="default" w:ascii="仿宋_GB2312" w:hAnsi="仿宋_GB2312" w:eastAsia="仿宋_GB2312" w:cs="仿宋_GB2312"/>
          <w:kern w:val="2"/>
          <w:sz w:val="32"/>
          <w:szCs w:val="32"/>
          <w:lang w:val="en-US" w:eastAsia="zh-CN" w:bidi="ar-SA"/>
        </w:rPr>
        <w:t>指标分值</w:t>
      </w:r>
      <w:r>
        <w:rPr>
          <w:rFonts w:hint="eastAsia" w:ascii="仿宋_GB2312" w:hAnsi="仿宋_GB2312" w:eastAsia="仿宋_GB2312" w:cs="仿宋_GB2312"/>
          <w:kern w:val="2"/>
          <w:sz w:val="32"/>
          <w:szCs w:val="32"/>
          <w:lang w:val="en-US" w:eastAsia="zh-CN" w:bidi="ar-SA"/>
        </w:rPr>
        <w:t>60</w:t>
      </w:r>
      <w:r>
        <w:rPr>
          <w:rFonts w:hint="default" w:ascii="仿宋_GB2312" w:hAnsi="仿宋_GB2312" w:eastAsia="仿宋_GB2312" w:cs="仿宋_GB2312"/>
          <w:kern w:val="2"/>
          <w:sz w:val="32"/>
          <w:szCs w:val="32"/>
          <w:lang w:val="en-US" w:eastAsia="zh-CN" w:bidi="ar-SA"/>
        </w:rPr>
        <w:t>分，</w:t>
      </w:r>
      <w:r>
        <w:rPr>
          <w:rFonts w:hint="eastAsia" w:ascii="仿宋_GB2312" w:hAnsi="仿宋_GB2312" w:eastAsia="仿宋_GB2312" w:cs="仿宋_GB2312"/>
          <w:kern w:val="2"/>
          <w:sz w:val="32"/>
          <w:szCs w:val="32"/>
          <w:lang w:val="en-US" w:eastAsia="zh-CN" w:bidi="ar-SA"/>
        </w:rPr>
        <w:t>从部门履职目标、部门效果目标、社会影响和服务对象满意度四个方面进行自评分析，得分为57.86分。</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w:t>
      </w:r>
      <w:r>
        <w:rPr>
          <w:rFonts w:hint="default" w:ascii="仿宋_GB2312" w:hAnsi="仿宋_GB2312" w:eastAsia="仿宋_GB2312" w:cs="仿宋_GB2312"/>
          <w:b/>
          <w:bCs/>
          <w:kern w:val="2"/>
          <w:sz w:val="32"/>
          <w:szCs w:val="32"/>
          <w:lang w:val="en-US" w:eastAsia="zh-CN" w:bidi="ar-SA"/>
        </w:rPr>
        <w:t>.能力建设</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能力建设指标分值为10分，从</w:t>
      </w:r>
      <w:r>
        <w:rPr>
          <w:rFonts w:hint="eastAsia" w:ascii="仿宋_GB2312" w:hAnsi="仿宋_GB2312" w:eastAsia="仿宋_GB2312" w:cs="仿宋_GB2312"/>
          <w:kern w:val="2"/>
          <w:sz w:val="32"/>
          <w:szCs w:val="32"/>
          <w:lang w:val="en-US" w:eastAsia="zh-CN" w:bidi="ar-SA"/>
        </w:rPr>
        <w:t>长效管理、人力资源建设和档案管理三个</w:t>
      </w:r>
      <w:r>
        <w:rPr>
          <w:rFonts w:hint="default" w:ascii="仿宋_GB2312" w:hAnsi="仿宋_GB2312" w:eastAsia="仿宋_GB2312" w:cs="仿宋_GB2312"/>
          <w:kern w:val="2"/>
          <w:sz w:val="32"/>
          <w:szCs w:val="32"/>
          <w:lang w:val="en-US" w:eastAsia="zh-CN" w:bidi="ar-SA"/>
        </w:rPr>
        <w:t>方面进行自评分析，得分为</w:t>
      </w:r>
      <w:r>
        <w:rPr>
          <w:rFonts w:hint="eastAsia" w:ascii="仿宋_GB2312" w:hAnsi="仿宋_GB2312" w:eastAsia="仿宋_GB2312" w:cs="仿宋_GB2312"/>
          <w:kern w:val="2"/>
          <w:sz w:val="32"/>
          <w:szCs w:val="32"/>
          <w:lang w:val="en-US" w:eastAsia="zh-CN" w:bidi="ar-SA"/>
        </w:rPr>
        <w:t>9.01</w:t>
      </w:r>
      <w:r>
        <w:rPr>
          <w:rFonts w:hint="default" w:ascii="仿宋_GB2312" w:hAnsi="仿宋_GB2312" w:eastAsia="仿宋_GB2312" w:cs="仿宋_GB2312"/>
          <w:kern w:val="2"/>
          <w:sz w:val="32"/>
          <w:szCs w:val="32"/>
          <w:lang w:val="en-US" w:eastAsia="zh-CN" w:bidi="ar-SA"/>
        </w:rPr>
        <w:t>分。</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（三）绩效自评结果拟应用和公开情况。</w:t>
      </w:r>
      <w:r>
        <w:rPr>
          <w:rFonts w:hint="eastAsia" w:ascii="仿宋_GB2312" w:hAnsi="仿宋_GB2312" w:eastAsia="仿宋_GB2312" w:cs="仿宋_GB2312"/>
          <w:kern w:val="2"/>
          <w:sz w:val="32"/>
          <w:szCs w:val="32"/>
          <w:lang w:val="en-US" w:eastAsia="zh-CN" w:bidi="ar-SA"/>
        </w:rPr>
        <w:t>根据本次绩效自评工作的要求及相关文件规定，对各项指标完成情况进行分析总结，明确改进措施。将相关结果与进度安排及时反馈各实施部门，明确整改时限并上报相关整改情况，接受监督检查。</w:t>
      </w:r>
      <w:bookmarkStart w:id="0" w:name="_GoBack"/>
      <w:bookmarkEnd w:id="0"/>
    </w:p>
    <w:sectPr>
      <w:footerReference r:id="rId3" w:type="default"/>
      <w:pgSz w:w="11906" w:h="16838"/>
      <w:pgMar w:top="1587"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TkzN2NjMDgxZWQ1YWJiOTU5YzE5YzgwODViYjEifQ=="/>
  </w:docVars>
  <w:rsids>
    <w:rsidRoot w:val="26BE3A6D"/>
    <w:rsid w:val="00590AA1"/>
    <w:rsid w:val="07FB6BDB"/>
    <w:rsid w:val="0B5F1B77"/>
    <w:rsid w:val="0CE360B2"/>
    <w:rsid w:val="0D170932"/>
    <w:rsid w:val="1A073B05"/>
    <w:rsid w:val="232F7073"/>
    <w:rsid w:val="24466FD8"/>
    <w:rsid w:val="26BE3A6D"/>
    <w:rsid w:val="2EA17C2D"/>
    <w:rsid w:val="33666750"/>
    <w:rsid w:val="37CC3996"/>
    <w:rsid w:val="46A75BA4"/>
    <w:rsid w:val="4F2A1121"/>
    <w:rsid w:val="545C3B2A"/>
    <w:rsid w:val="56B85264"/>
    <w:rsid w:val="5A41202B"/>
    <w:rsid w:val="5CBE6F55"/>
    <w:rsid w:val="5E8D4A15"/>
    <w:rsid w:val="63780D97"/>
    <w:rsid w:val="6C2A5368"/>
    <w:rsid w:val="6E2241BE"/>
    <w:rsid w:val="7B5F0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6853</Words>
  <Characters>7349</Characters>
  <Lines>0</Lines>
  <Paragraphs>0</Paragraphs>
  <TotalTime>49</TotalTime>
  <ScaleCrop>false</ScaleCrop>
  <LinksUpToDate>false</LinksUpToDate>
  <CharactersWithSpaces>7352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2024-12-01T02:25:00Z</dcterms:created>
  <dc:creator>託~</dc:creator>
  <cp:lastModifiedBy>託~</cp:lastModifiedBy>
  <cp:lastPrinted>2024-12-03T06:42:00Z</cp:lastPrinted>
  <dcterms:modified xsi:type="dcterms:W3CDTF">2025-02-26T08:20:05Z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D92878C21429441996CA8B230766BC3F_13</vt:lpwstr>
  </property>
</Properties>
</file>