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A39DC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 w:bidi="ar"/>
        </w:rPr>
      </w:pPr>
    </w:p>
    <w:p w14:paraId="53B193EA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 w:bidi="ar"/>
        </w:rPr>
      </w:pPr>
    </w:p>
    <w:p w14:paraId="2A1E5469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  <w:t>年度兰州新区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栖霞社区卫生服中心</w:t>
      </w:r>
    </w:p>
    <w:p w14:paraId="01ACE886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2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预算执行绩效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  <w:t>自评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工作的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  <w:t>报告</w:t>
      </w:r>
    </w:p>
    <w:p w14:paraId="76CFBC88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FA6FBE1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 w14:paraId="1A20A06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一)主要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职责</w:t>
      </w:r>
    </w:p>
    <w:p w14:paraId="7AF955A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兰州新区栖霞社区卫生服务中心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为非营利性医疗机构，主要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承担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栖霞社区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3.15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万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居民的基本医疗服务和国家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基本公共卫生服务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项目实施工作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负责辖区人口的常见病、多发病的诊断治疗，并负责辖区内居民的传染预防控制和社区康复、预防接种，儿童、孕产妇、老年人等重点人群健康管理服务，公共场所卫生监督协管，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计划生育技术指导与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协助处置辖区内的突发公共卫生事件等基本职能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。</w:t>
      </w:r>
    </w:p>
    <w:p w14:paraId="58AB34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机构设置及人员情况</w:t>
      </w:r>
    </w:p>
    <w:p w14:paraId="4BC46556">
      <w:pPr>
        <w:pStyle w:val="6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兰州新区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栖霞社区卫生服务中心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内设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，分别是综合办、财务科、医务科、护理部、内儿科、全科、公卫科、妇科、中医科、预防接种科、医技科、药房。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年末兰州新区栖霞社区卫生服务中心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实有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人，其中在编事业人员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组织部聘用7人，单位自聘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公益性岗位6人。</w:t>
      </w:r>
    </w:p>
    <w:p w14:paraId="5DECA010">
      <w:pPr>
        <w:pStyle w:val="6"/>
        <w:pageBreakBefore w:val="0"/>
        <w:widowControl/>
        <w:tabs>
          <w:tab w:val="left" w:pos="69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二、绩效自评工作组织开展情况</w:t>
      </w:r>
    </w:p>
    <w:p w14:paraId="721662FA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为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切实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做好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年度部门整体绩效自评工作，提高财政资金使用效益，根据《关于开展2024年度预算执行绩效自评工作的通知》（兰新财发【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号）文件精神，结合实际，我单位组织成立了绩效评价工作小组，检查支出相关资料，并根据绩效自评材料进行分析、总结。</w:t>
      </w:r>
    </w:p>
    <w:p w14:paraId="294E2D33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部门整体支出绩效自评情况分析</w:t>
      </w:r>
    </w:p>
    <w:p w14:paraId="5AC9C13C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（一）部门决算情况</w:t>
      </w:r>
    </w:p>
    <w:p w14:paraId="00FC7FC4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</w:rPr>
      </w:pPr>
      <w:r>
        <w:rPr>
          <w:rFonts w:ascii="仿宋_GB2312" w:eastAsia="仿宋_GB2312" w:hAnsiTheme="minorEastAsia" w:cstheme="minorEastAsia"/>
          <w:b w:val="0"/>
          <w:bCs w:val="0"/>
          <w:sz w:val="32"/>
          <w:szCs w:val="32"/>
        </w:rPr>
        <w:t>1</w:t>
      </w: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</w:rPr>
        <w:t>年度</w:t>
      </w: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  <w:t>收入</w:t>
      </w: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</w:rPr>
        <w:t>决算情况</w:t>
      </w:r>
    </w:p>
    <w:p w14:paraId="5F78AA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年度总收入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946.45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万元，其中一般公共预算财政收入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1219.96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万元，占总收入的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62.68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%；事业收入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692.55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万元，占总收入的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5.58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%；其他收入33.94万元，占总收入的17.44%。年初结转和结余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102.86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万元。</w:t>
      </w:r>
    </w:p>
    <w:p w14:paraId="170C6E50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  <w:t>年度支出决算情况</w:t>
      </w:r>
    </w:p>
    <w:p w14:paraId="226CA54C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年度总支出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2049.31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万元，其中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1523.98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人员经费支出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653.14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占总支出</w:t>
      </w: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1.87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%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公用经费支出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41.48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占总支出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2.02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%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；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525.33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万元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占总支出的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25.63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%。</w:t>
      </w:r>
    </w:p>
    <w:p w14:paraId="2ED183C4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30" w:left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总体绩效目标完成情况分析</w:t>
      </w:r>
    </w:p>
    <w:p w14:paraId="113CC63F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  <w:t>1.总体绩效目标</w:t>
      </w:r>
    </w:p>
    <w:p w14:paraId="1276F8A6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 xml:space="preserve">   目标1：完成基本医疗和国家基本公共卫生服务工作；</w:t>
      </w:r>
    </w:p>
    <w:p w14:paraId="5F3F12C6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0" w:hanging="640" w:hangingChars="200"/>
        <w:jc w:val="both"/>
        <w:textAlignment w:val="auto"/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 xml:space="preserve">   目标2：发放医护人员工资，缴纳各类保险，办公经费开支；</w:t>
      </w:r>
    </w:p>
    <w:p w14:paraId="4540C46F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目标3：加强基层医疗机构管理及医护人员队伍建设；</w:t>
      </w:r>
    </w:p>
    <w:p w14:paraId="33C63EF8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jc w:val="both"/>
        <w:textAlignment w:val="auto"/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 xml:space="preserve">  目标4：完成缴纳村医养老保险补助及离岗村医养老补助、定额补助。</w:t>
      </w:r>
    </w:p>
    <w:p w14:paraId="6707B14B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  <w:t>2.完成情况分析</w:t>
      </w:r>
    </w:p>
    <w:p w14:paraId="70A9BE48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目标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完成情况：截至目前，管理居民健康档案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28351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份。高血压规范管理数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991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份，糖尿病规范管理数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532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份，老年人健康管理档案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686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份；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0-6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岁儿童健康管理档案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3757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份；孕产妇管理档案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1060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份，建立严重精神障碍患者档案78份；家庭医生签约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27905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人；</w:t>
      </w:r>
    </w:p>
    <w:p w14:paraId="1B71881B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目标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完成情况：</w:t>
      </w:r>
      <w:r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  <w:t>人员经费支出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653.14</w:t>
      </w:r>
      <w:r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  <w:t>万元；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公用</w:t>
      </w:r>
      <w:r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  <w:t>经费支出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41.48</w:t>
      </w:r>
      <w:r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  <w:t>万元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；</w:t>
      </w:r>
    </w:p>
    <w:p w14:paraId="4C8BE176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目标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完成情况：建立健全各项规章制度，单位班子及医护队伍，团结务实，职责分明，能够相互配合，协调一致；</w:t>
      </w:r>
    </w:p>
    <w:p w14:paraId="42E8280C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目标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完成情况：完成缴纳村医养老保险补助及离岗村医养老补助、定额补助。稳定村医队伍，为离岗村医解决后顾之忧，提高基层医疗机构服务能力。</w:t>
      </w:r>
    </w:p>
    <w:p w14:paraId="67CFAE4F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30" w:lef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各项指标完成情况分析</w:t>
      </w:r>
    </w:p>
    <w:p w14:paraId="60D5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根据本次自评工作要求，我单位结合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年度履职工作实际，从部门整体支出、部门管理、履职效果、能力建设及服务对象满意度五个方面开展部门整体支出绩效自评。经对各项履职工作相关资料的整理、汇总分析，综合评分为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4.85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分。各项指标完成情况分析如下：</w:t>
      </w:r>
    </w:p>
    <w:p w14:paraId="6DF6B514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  <w:t>1.部门整体支出</w:t>
      </w:r>
    </w:p>
    <w:p w14:paraId="480D7E9A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both"/>
        <w:textAlignment w:val="auto"/>
        <w:rPr>
          <w:rFonts w:hint="default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部门整体支出指标分值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10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分，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2024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年度我单位整体支出年初预算数为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957.61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万元，全年预算数为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1309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万元，实际支出数为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219.96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万元，执行率为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93.19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%，指标得分为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9.31分</w:t>
      </w:r>
      <w:r>
        <w:rPr>
          <w:rFonts w:hint="eastAsia" w:ascii="仿宋_GB2312" w:eastAsia="仿宋_GB2312" w:hAnsiTheme="minorEastAsia" w:cstheme="minorEastAsia"/>
          <w:kern w:val="0"/>
          <w:sz w:val="32"/>
          <w:szCs w:val="32"/>
          <w:lang w:val="en-US" w:eastAsia="zh-CN" w:bidi="ar-SA"/>
        </w:rPr>
        <w:t>。</w:t>
      </w:r>
    </w:p>
    <w:p w14:paraId="798FE186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30"/>
        <w:jc w:val="both"/>
        <w:textAlignment w:val="auto"/>
        <w:rPr>
          <w:rFonts w:ascii="仿宋_GB2312" w:eastAsia="仿宋_GB2312" w:hAnsiTheme="minorEastAsia" w:cstheme="minorEastAsia"/>
          <w:b w:val="0"/>
          <w:bCs w:val="0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</w:rPr>
        <w:t>.部门管理</w:t>
      </w:r>
    </w:p>
    <w:p w14:paraId="2D5977B8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部门管理指标分值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分，从资金投入、财务管理、采购管理、资产管理、人员管理及重点工作管理六方面对我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年度部门管理情况进行自评分析，得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19分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。</w:t>
      </w:r>
    </w:p>
    <w:p w14:paraId="631F48A8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财务管理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指标分值为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分，得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3.6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分。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由于我单位财务人员业务水平薄弱，对政府财务管理制度学习和理解不够透彻，制定单位内部财务管理制度缺乏实用性。在今后的财务管理工作中，建立健全和完善单位内部财务管理制度和内控制度，使财务管理工作更加规范。</w:t>
      </w:r>
    </w:p>
    <w:p w14:paraId="1F9AFFFC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采购管理指标分值为2分，得1.8分。由于政府采购涉及多领域专业知识，采购人员业务能力不足，内部控制制度不够完善。加强采购人员培训，更加完善政府采购流程。</w:t>
      </w:r>
    </w:p>
    <w:p w14:paraId="79C901FB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重点工作指标分值为2份，得1.8分。对重点工作开展流程缺乏详细指导、实施细则，基层工作人员执行困难。加强学习培训，完善制度建设。</w:t>
      </w:r>
    </w:p>
    <w:p w14:paraId="3AB60641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资产管理指标分值为2分，得1.8分。部分资产购入后未及时登记入账，或资产信息记录不全，如缺少资产规格等。加强资产日常管理，及时登记入账，完善资产信息，确保资产安全。</w:t>
      </w:r>
    </w:p>
    <w:p w14:paraId="771D5041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eastAsia="zh-CN"/>
        </w:rPr>
        <w:t>履职效果</w:t>
      </w:r>
    </w:p>
    <w:p w14:paraId="5A4B773D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履职效果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指标分值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分，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根据我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工作职责及年度工作安排，从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部门履职目标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部门效果目标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社会影响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、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服务对象满意度等四个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方面对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年度部门履职工作完成情况进行分析说明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57.52分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。</w:t>
      </w:r>
    </w:p>
    <w:p w14:paraId="3F343DB4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推进医药卫生体制改革分值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6.25分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，得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5.63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分。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部门协同、医疗资源整合逐步完善。加强基层医疗建设，提高基层医疗服务能力，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严格按照《兰州新区医共体双向转诊工作流程》，积极推动上下转诊机制的有效运行。</w:t>
      </w:r>
    </w:p>
    <w:p w14:paraId="0B403F31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维护基本公卫安全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24"/>
          <w:lang w:val="en-US" w:eastAsia="zh-CN" w:bidi="ar-SA"/>
        </w:rPr>
        <w:t>分值6.25分，得5.63分。公众普遍对公共卫生问题的关注度和重视程度不高。通过多种渠道和形式，如广播、网络、社区宣传等，广泛普及健康知识和技能，提高公众的健康素养和自我防护意识。</w:t>
      </w:r>
    </w:p>
    <w:p w14:paraId="2140339B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提升医疗服务水平目标分值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6.25分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，得5.63分。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我们将充分发挥毗邻福利院的优势，大力推进医养结合、安宁疗护工作，为群众提供全方位、全生命周期的医疗照护服务。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将继续加强人才队伍建设，建立健全相关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医疗工作管理制度，全面提升医疗服务质量，切实为广大老百姓服务。</w:t>
      </w:r>
    </w:p>
    <w:p w14:paraId="226519F1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  <w:t>违法违纪情况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目标分值6.25分，得5.63分。队公共卫生专业人员开展职业道德培训，增强其责任意识和敬业精神，定期对工作开展情况进行检查，重点监督资金使用、审批及采购环节，确保各项工作依规进行。</w:t>
      </w:r>
    </w:p>
    <w:p w14:paraId="56178583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能力建设指标分值10分，根据单位实际工作，从长效管理、人力资源建设、档案管理等三个方面，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对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年度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能力建设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工作完成情况进行分析说明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9.01分</w:t>
      </w: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。</w:t>
      </w:r>
    </w:p>
    <w:p w14:paraId="0E26EAB9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eastAsia="zh-CN"/>
        </w:rPr>
        <w:t>部门管理机制长效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指标分值3.33分，得3分。定期组织内部培训，提升人员业务能力，成立内部监督小组，定期检查各科室工作进展、制度执行情况，发现问题及时整改。</w:t>
      </w:r>
    </w:p>
    <w:p w14:paraId="6476B8A7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  <w:t>人员培训机制完备性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指标分值3.33分，得3分。公共卫生领域知识和技术更新迅速，要针对基层工作人员实际工作中的重点和难点进行培训。</w:t>
      </w:r>
    </w:p>
    <w:p w14:paraId="65FC150A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档案管理完备性指标分值3.34分，得3.01分。按照公共卫生业务领域、时间顺序、文件类型等进行分类，如分为疾病防控类、卫生监督类、健康教育类等，便于检索和利用。</w:t>
      </w:r>
      <w:bookmarkStart w:id="0" w:name="_GoBack"/>
      <w:bookmarkEnd w:id="0"/>
    </w:p>
    <w:p w14:paraId="27DA2E5C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绩效自评结果拟应用和公开情况</w:t>
      </w:r>
    </w:p>
    <w:p w14:paraId="67848A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根据本次绩效自评工作的要求及相关文件规定，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分析公共卫生项目在资金使用、服务质量、目标达成等方面的情况，为后续项目规划、资源分配提供依据。公开绩效自评结果后，根据反馈改进工作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，明确整改时限并上报相关整改情况，接受监督检查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以提升公共卫生服务质量和公众满意度。</w:t>
      </w:r>
    </w:p>
    <w:p w14:paraId="24B2BF92">
      <w:pPr>
        <w:pStyle w:val="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其他需要说明的问题</w:t>
      </w:r>
    </w:p>
    <w:p w14:paraId="06162C2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本次绩效自评无其他需要说明的问题。</w:t>
      </w:r>
    </w:p>
    <w:p w14:paraId="7C302821">
      <w:pPr>
        <w:pStyle w:val="2"/>
        <w:pageBreakBefore w:val="0"/>
        <w:numPr>
          <w:ilvl w:val="5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A4EA572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eastAsia="仿宋_GB2312" w:hAnsiTheme="minorEastAsia" w:cstheme="minorEastAsia"/>
          <w:sz w:val="32"/>
          <w:szCs w:val="32"/>
        </w:rPr>
      </w:pPr>
    </w:p>
    <w:p w14:paraId="37B81EE8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00" w:firstLineChars="1000"/>
        <w:jc w:val="both"/>
        <w:textAlignment w:val="auto"/>
        <w:rPr>
          <w:rFonts w:hint="default" w:ascii="仿宋_GB2312" w:eastAsia="仿宋_GB2312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兰州新区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栖霞社区卫生服务中心</w:t>
      </w:r>
    </w:p>
    <w:p w14:paraId="6CB10208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480" w:firstLine="640" w:firstLineChars="200"/>
        <w:jc w:val="center"/>
        <w:textAlignment w:val="auto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 w:cstheme="minorEastAsia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D16E2B-DB9A-4667-8330-C5ABF23534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DFD5028-576F-4C41-B021-FE388AF9F34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73E711-1834-4D35-8189-7C1CA7A6EA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DB10DC9-803D-4D60-A468-9CB889B4C9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DFF8607-F142-4F45-AF3A-C435ABD39A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FAC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9E63F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09E63F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65064"/>
    <w:multiLevelType w:val="multilevel"/>
    <w:tmpl w:val="59A6506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、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2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NjgyMzhmYzMwNGI5ODdhZWVhNjlkOGIwMDI5NmIifQ=="/>
  </w:docVars>
  <w:rsids>
    <w:rsidRoot w:val="57764F14"/>
    <w:rsid w:val="000049D8"/>
    <w:rsid w:val="000E5DF2"/>
    <w:rsid w:val="0022685A"/>
    <w:rsid w:val="002B42F1"/>
    <w:rsid w:val="002F0A30"/>
    <w:rsid w:val="004306E3"/>
    <w:rsid w:val="004E0E53"/>
    <w:rsid w:val="00500157"/>
    <w:rsid w:val="00600035"/>
    <w:rsid w:val="00736C3E"/>
    <w:rsid w:val="00745A5A"/>
    <w:rsid w:val="007D54CB"/>
    <w:rsid w:val="007F6879"/>
    <w:rsid w:val="009B4203"/>
    <w:rsid w:val="00AD4832"/>
    <w:rsid w:val="00BE409E"/>
    <w:rsid w:val="00BE60B3"/>
    <w:rsid w:val="00DE687B"/>
    <w:rsid w:val="00E2538C"/>
    <w:rsid w:val="00E679A0"/>
    <w:rsid w:val="00ED6B80"/>
    <w:rsid w:val="00F04304"/>
    <w:rsid w:val="01BB02FC"/>
    <w:rsid w:val="025C79C4"/>
    <w:rsid w:val="030E31E0"/>
    <w:rsid w:val="0374736E"/>
    <w:rsid w:val="039D18E6"/>
    <w:rsid w:val="049F7F22"/>
    <w:rsid w:val="0AA7129C"/>
    <w:rsid w:val="0DB56175"/>
    <w:rsid w:val="0E9D13DC"/>
    <w:rsid w:val="104B091B"/>
    <w:rsid w:val="131F50D2"/>
    <w:rsid w:val="199B7DBD"/>
    <w:rsid w:val="1A367F46"/>
    <w:rsid w:val="1BEC2FB3"/>
    <w:rsid w:val="1C2A4806"/>
    <w:rsid w:val="1C8256C5"/>
    <w:rsid w:val="1F08566F"/>
    <w:rsid w:val="244A073A"/>
    <w:rsid w:val="2948594C"/>
    <w:rsid w:val="2AE15CAC"/>
    <w:rsid w:val="2C1A3FB3"/>
    <w:rsid w:val="2D6329A9"/>
    <w:rsid w:val="2F1228D8"/>
    <w:rsid w:val="300C37CC"/>
    <w:rsid w:val="30D065A7"/>
    <w:rsid w:val="31BB1005"/>
    <w:rsid w:val="31C23E0E"/>
    <w:rsid w:val="31E4730C"/>
    <w:rsid w:val="3298689E"/>
    <w:rsid w:val="33641498"/>
    <w:rsid w:val="33767FA4"/>
    <w:rsid w:val="3386285E"/>
    <w:rsid w:val="355A6F55"/>
    <w:rsid w:val="36CF7301"/>
    <w:rsid w:val="3938734E"/>
    <w:rsid w:val="3DC456E6"/>
    <w:rsid w:val="42A64645"/>
    <w:rsid w:val="434F77FF"/>
    <w:rsid w:val="437278C0"/>
    <w:rsid w:val="48272AF9"/>
    <w:rsid w:val="4D9A1FBF"/>
    <w:rsid w:val="4FFC676D"/>
    <w:rsid w:val="54ED6E78"/>
    <w:rsid w:val="565E2AC4"/>
    <w:rsid w:val="56B7773E"/>
    <w:rsid w:val="57764F14"/>
    <w:rsid w:val="5C1B734C"/>
    <w:rsid w:val="5C86208C"/>
    <w:rsid w:val="5C9D39F8"/>
    <w:rsid w:val="5D3C6D3A"/>
    <w:rsid w:val="5D695738"/>
    <w:rsid w:val="5D9E2631"/>
    <w:rsid w:val="5F16521D"/>
    <w:rsid w:val="6045687C"/>
    <w:rsid w:val="61686CF1"/>
    <w:rsid w:val="62100324"/>
    <w:rsid w:val="62143C96"/>
    <w:rsid w:val="626C5880"/>
    <w:rsid w:val="69870C3F"/>
    <w:rsid w:val="6A5C1ABB"/>
    <w:rsid w:val="6B680BAF"/>
    <w:rsid w:val="6E29772C"/>
    <w:rsid w:val="6F255C0E"/>
    <w:rsid w:val="6FCD38F6"/>
    <w:rsid w:val="7107638D"/>
    <w:rsid w:val="72BB3CBA"/>
    <w:rsid w:val="75440CCF"/>
    <w:rsid w:val="756D7F70"/>
    <w:rsid w:val="75AF0683"/>
    <w:rsid w:val="76563960"/>
    <w:rsid w:val="769519EF"/>
    <w:rsid w:val="7A0C25B9"/>
    <w:rsid w:val="7DBD3900"/>
    <w:rsid w:val="7F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autoRedefine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宋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4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3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jc w:val="left"/>
    </w:pPr>
    <w:rPr>
      <w:rFonts w:ascii="微软雅黑" w:hAnsi="微软雅黑" w:eastAsia="微软雅黑"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333333"/>
      <w:u w:val="none"/>
    </w:rPr>
  </w:style>
  <w:style w:type="character" w:styleId="11">
    <w:name w:val="Emphasis"/>
    <w:basedOn w:val="8"/>
    <w:autoRedefine/>
    <w:qFormat/>
    <w:uiPriority w:val="0"/>
    <w:rPr>
      <w:rFonts w:hint="eastAsia" w:ascii="微软雅黑" w:hAnsi="微软雅黑" w:eastAsia="微软雅黑" w:cs="微软雅黑"/>
    </w:rPr>
  </w:style>
  <w:style w:type="character" w:styleId="12">
    <w:name w:val="Hyperlink"/>
    <w:basedOn w:val="8"/>
    <w:autoRedefine/>
    <w:qFormat/>
    <w:uiPriority w:val="0"/>
    <w:rPr>
      <w:color w:val="333333"/>
      <w:u w:val="none"/>
    </w:rPr>
  </w:style>
  <w:style w:type="character" w:customStyle="1" w:styleId="13">
    <w:name w:val="after"/>
    <w:basedOn w:val="8"/>
    <w:autoRedefine/>
    <w:qFormat/>
    <w:uiPriority w:val="0"/>
    <w:rPr>
      <w:shd w:val="clear" w:color="auto" w:fill="FFFFFF"/>
    </w:rPr>
  </w:style>
  <w:style w:type="character" w:customStyle="1" w:styleId="14">
    <w:name w:val="text"/>
    <w:basedOn w:val="8"/>
    <w:autoRedefine/>
    <w:qFormat/>
    <w:uiPriority w:val="0"/>
    <w:rPr>
      <w:color w:val="666666"/>
    </w:rPr>
  </w:style>
  <w:style w:type="character" w:customStyle="1" w:styleId="15">
    <w:name w:val="bsharetext"/>
    <w:basedOn w:val="8"/>
    <w:autoRedefine/>
    <w:qFormat/>
    <w:uiPriority w:val="0"/>
  </w:style>
  <w:style w:type="character" w:customStyle="1" w:styleId="16">
    <w:name w:val="last"/>
    <w:basedOn w:val="8"/>
    <w:autoRedefine/>
    <w:qFormat/>
    <w:uiPriority w:val="0"/>
  </w:style>
  <w:style w:type="character" w:customStyle="1" w:styleId="17">
    <w:name w:val="wx-space"/>
    <w:basedOn w:val="8"/>
    <w:autoRedefine/>
    <w:qFormat/>
    <w:uiPriority w:val="0"/>
  </w:style>
  <w:style w:type="character" w:customStyle="1" w:styleId="18">
    <w:name w:val="wx-space1"/>
    <w:basedOn w:val="8"/>
    <w:autoRedefine/>
    <w:qFormat/>
    <w:uiPriority w:val="0"/>
  </w:style>
  <w:style w:type="character" w:customStyle="1" w:styleId="19">
    <w:name w:val="hover20"/>
    <w:basedOn w:val="8"/>
    <w:autoRedefine/>
    <w:qFormat/>
    <w:uiPriority w:val="0"/>
    <w:rPr>
      <w:color w:val="000000"/>
      <w:shd w:val="clear" w:color="auto" w:fill="FFFFFF"/>
    </w:rPr>
  </w:style>
  <w:style w:type="character" w:customStyle="1" w:styleId="20">
    <w:name w:val="line"/>
    <w:basedOn w:val="8"/>
    <w:autoRedefine/>
    <w:qFormat/>
    <w:uiPriority w:val="0"/>
  </w:style>
  <w:style w:type="character" w:customStyle="1" w:styleId="21">
    <w:name w:val="line1"/>
    <w:basedOn w:val="8"/>
    <w:autoRedefine/>
    <w:qFormat/>
    <w:uiPriority w:val="0"/>
  </w:style>
  <w:style w:type="character" w:customStyle="1" w:styleId="22">
    <w:name w:val="hover29"/>
    <w:basedOn w:val="8"/>
    <w:autoRedefine/>
    <w:qFormat/>
    <w:uiPriority w:val="0"/>
    <w:rPr>
      <w:color w:val="000000"/>
      <w:shd w:val="clear" w:color="auto" w:fill="FFFFFF"/>
    </w:rPr>
  </w:style>
  <w:style w:type="character" w:customStyle="1" w:styleId="23">
    <w:name w:val="n3"/>
    <w:basedOn w:val="8"/>
    <w:autoRedefine/>
    <w:qFormat/>
    <w:uiPriority w:val="0"/>
  </w:style>
  <w:style w:type="character" w:customStyle="1" w:styleId="24">
    <w:name w:val="a1"/>
    <w:basedOn w:val="8"/>
    <w:autoRedefine/>
    <w:qFormat/>
    <w:uiPriority w:val="0"/>
  </w:style>
  <w:style w:type="character" w:customStyle="1" w:styleId="25">
    <w:name w:val="a2"/>
    <w:basedOn w:val="8"/>
    <w:autoRedefine/>
    <w:qFormat/>
    <w:uiPriority w:val="0"/>
  </w:style>
  <w:style w:type="character" w:customStyle="1" w:styleId="26">
    <w:name w:val="a3"/>
    <w:basedOn w:val="8"/>
    <w:autoRedefine/>
    <w:qFormat/>
    <w:uiPriority w:val="0"/>
  </w:style>
  <w:style w:type="character" w:customStyle="1" w:styleId="27">
    <w:name w:val="a4"/>
    <w:basedOn w:val="8"/>
    <w:autoRedefine/>
    <w:qFormat/>
    <w:uiPriority w:val="0"/>
  </w:style>
  <w:style w:type="character" w:customStyle="1" w:styleId="28">
    <w:name w:val="n1"/>
    <w:basedOn w:val="8"/>
    <w:autoRedefine/>
    <w:qFormat/>
    <w:uiPriority w:val="0"/>
  </w:style>
  <w:style w:type="character" w:customStyle="1" w:styleId="29">
    <w:name w:val="n2"/>
    <w:basedOn w:val="8"/>
    <w:autoRedefine/>
    <w:qFormat/>
    <w:uiPriority w:val="0"/>
  </w:style>
  <w:style w:type="character" w:customStyle="1" w:styleId="30">
    <w:name w:val="n4"/>
    <w:basedOn w:val="8"/>
    <w:autoRedefine/>
    <w:qFormat/>
    <w:uiPriority w:val="0"/>
  </w:style>
  <w:style w:type="character" w:customStyle="1" w:styleId="31">
    <w:name w:val="n5"/>
    <w:basedOn w:val="8"/>
    <w:autoRedefine/>
    <w:qFormat/>
    <w:uiPriority w:val="0"/>
  </w:style>
  <w:style w:type="character" w:customStyle="1" w:styleId="32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批注框文本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2627</Words>
  <Characters>2886</Characters>
  <Lines>9</Lines>
  <Paragraphs>2</Paragraphs>
  <TotalTime>35</TotalTime>
  <ScaleCrop>false</ScaleCrop>
  <LinksUpToDate>false</LinksUpToDate>
  <CharactersWithSpaces>2906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2021-03-04T06:20:00Z</dcterms:created>
  <dc:creator>Administrator</dc:creator>
  <cp:lastModifiedBy>O_oIRIS</cp:lastModifiedBy>
  <cp:lastPrinted>2024-03-06T06:48:00Z</cp:lastPrinted>
  <dcterms:modified xsi:type="dcterms:W3CDTF">2025-02-27T01:17:31Z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8FA2F2D9B30047798BF85EBB72537FFA</vt:lpwstr>
  </property>
  <property fmtid="{D5CDD505-2E9C-101B-9397-08002B2CF9AE}" pid="4" name="KSOTemplateDocerSaveRecord">
    <vt:lpwstr>eyJoZGlkIjoiYmIzZTBmNTIwYTY4N2RlMTljMjBmZTc4NWM2NmM2NDMiLCJ1c2VySWQiOiI0NDkwMDUzNTAifQ==</vt:lpwstr>
  </property>
</Properties>
</file>