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华文中宋" w:eastAsia="方正小标宋简体" w:cs="华文中宋"/>
          <w:b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/>
          <w:color w:val="auto"/>
          <w:sz w:val="36"/>
          <w:szCs w:val="36"/>
          <w:lang w:val="en-US" w:eastAsia="zh-CN"/>
        </w:rPr>
        <w:t>兰州新区纪工委监工委（巡察办）2024年度</w:t>
      </w:r>
    </w:p>
    <w:p>
      <w:pPr>
        <w:ind w:left="0" w:leftChars="0" w:firstLine="0" w:firstLineChars="0"/>
        <w:jc w:val="center"/>
        <w:rPr>
          <w:rFonts w:hint="eastAsia" w:ascii="方正小标宋简体" w:hAnsi="华文中宋" w:eastAsia="方正小标宋简体" w:cs="华文中宋"/>
          <w:b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/>
          <w:color w:val="auto"/>
          <w:sz w:val="36"/>
          <w:szCs w:val="36"/>
          <w:lang w:val="en-US" w:eastAsia="zh-CN"/>
        </w:rPr>
        <w:t>部门整体支出绩效评价报告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13"/>
        <w:tblW w:w="8814" w:type="dxa"/>
        <w:jc w:val="center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9"/>
        <w:gridCol w:w="675"/>
        <w:gridCol w:w="270"/>
        <w:gridCol w:w="633"/>
        <w:gridCol w:w="232"/>
        <w:gridCol w:w="943"/>
        <w:gridCol w:w="233"/>
        <w:gridCol w:w="434"/>
        <w:gridCol w:w="743"/>
        <w:gridCol w:w="945"/>
        <w:gridCol w:w="172"/>
        <w:gridCol w:w="1380"/>
        <w:gridCol w:w="113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一、部门整体基本情况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1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兰州新区纪工委监工委（巡察办）2024年度部门整体支出绩效评价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评价年度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评价类型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财政评价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评价对象名称</w:t>
            </w:r>
          </w:p>
        </w:tc>
        <w:tc>
          <w:tcPr>
            <w:tcW w:w="621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兰州新区纪工委监工委（巡察办）</w:t>
            </w:r>
            <w:bookmarkEnd w:id="0"/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实施目的</w:t>
            </w:r>
          </w:p>
        </w:tc>
        <w:tc>
          <w:tcPr>
            <w:tcW w:w="8116" w:type="dxa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通过综合分析兰州新区纪工委监工委（巡察办）部门整体支出预算编制的合理性和科学性、预算执行的时效性、预算控制和监督的有效性，以及部门基本运转、履职尽责和履职效能等情况，全面考核部门整体支出和履职职能的匹配程度，及时发现部门存在的不足和问题，提出合理意见建议，从而提升部门整体预算绩效管理水平，提高财政资金使用效益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资金情况（万元）</w:t>
            </w: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预算安排资金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2"/>
            <w:bookmarkStart w:id="2" w:name="OLE_LINK3"/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  <w:bookmarkEnd w:id="1"/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98.2</w:t>
            </w:r>
            <w:bookmarkEnd w:id="2"/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实际到位资金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1398.27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其中：市级资金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1398.27</w:t>
            </w: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其中：市级资金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1398.27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县级资金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县级资金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实际支出资金</w:t>
            </w:r>
          </w:p>
        </w:tc>
        <w:tc>
          <w:tcPr>
            <w:tcW w:w="18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1398.19</w:t>
            </w: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结余资金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预算执行率</w:t>
            </w:r>
          </w:p>
        </w:tc>
        <w:tc>
          <w:tcPr>
            <w:tcW w:w="621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99.99%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二、部门整体绩效目标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年度绩效目标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兰州新区纪工委监工委（巡察办）202</w:t>
            </w:r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4年度部门整体支出绩效目标为：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做实做细政治监督，推动决策部署贯彻落实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持续强化压力传导，压实管党治党政治责任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坚决纠四风树新风，促进作风建设长效常治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保持惩腐高压态势，大力推动遗留问题解决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创新国企监督方式，深化国企廉洁文化建设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坚决维护群众利益，扎实部署开展专项整治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彰显巡察利剑作用，监督整改提升治理成效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三、评价基本情况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评价范围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兰州新区纪工委监工委（巡察办）2024年度部门全年预算资金1398.27万元。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评价依据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1.《中华人民共和国预算法》；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2.《中共中央 国务院关于全面实施预算绩效管理的意见》（中发〔2018〕34号）；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3.《财政部关于印发&lt;预算绩效评价共性指标体系框架&gt;的通知》（财预〔2013〕53号）；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4.《财政部关于规范绩效评价结果等级划分标准的通知》（财预便〔2017〕44号）；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5.《甘肃省委 省政府关于全面实施预算绩效管理的实施意见》（甘发〔2018〕32号）；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6.《兰州新区管委会办公室关于印发&lt;兰州新区全面推进预算绩效管理实施细则&gt;的通知》;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7.部门2024年度预决算公开报表及情况说明；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8.2024年度预算执行情况绩效目标表、监控表、监控报告、自评表等；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9.各项支出财务凭证等其他相关资料。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绩效评价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指标体系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本次绩效评价指标体系设计思路主要是根据</w:t>
            </w:r>
            <w:bookmarkStart w:id="4" w:name="OLE_LINK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兰州新区纪工委监工委（巡察办）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的基本职能，围绕部门年度工作计划、绩效目标设定、预算编制、预算执行、履职完成情况及履职效益发挥情况等重要内容，结合绩效评价指标体系的设计原则及设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方法，主要从部门管理、履职效果、能力建设及满意度四个方面评价兰州新区纪工委监工委（巡察办）2024年度部门整体工作，具体评价指标包括4项一级指标，并在一级指标基础上细化延伸16项二级指标及26项三级指标。指标体系的数据源于部门履职各项资料、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数据表及调查问卷分析情况等资料。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评价方法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比较法、因素分析法、公众评判法。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数据采集及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处理方法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按照绩效评价指标体系对部门整体绩效评价资料进行逐一整理，便于后期从评价资料中快速检索所需数据信息；对照评分标准，从已整理资料中提取与对应指标有关的数据信息，统计分析该指标的得分情况和扣分原因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9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绩效评价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工作过程</w:t>
            </w:r>
          </w:p>
        </w:tc>
        <w:tc>
          <w:tcPr>
            <w:tcW w:w="7122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1.前期准备阶段。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评价组根据新区纪工委监工委（巡察办）实际情况和特点，明确此次评价重点关注部门内控管理情况，针对性地设计评价指标体系和资料收集清单；同时通过查阅相关政策制度，了解部门基本情况，分析部门职责和人员规划，确定评价要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组织实施阶段。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根据评价工作安排，由办公室室牵头，与各对口业务科室对接，单位认真梳理绩效自评范围资金，结合通知要求，对本级财政预算资金应评尽评，在绩效目标编制的基础上，对实施中的项目及时开展事中跟踪监控，对于项目资金使用和管理提早谋划，注重对项目的动态监控，清楚掌握项目实施进度，强化对项目实施进度与资金拨付情况的跟踪，加强预算执行分析，在及时、准确掌握预算执行动态的基础上，有针对性地分析问题、提出意见建议，针对进展较慢的项目查找具体原因并提出解决措施，不断提升预算管理水平，提高资金使用效益，确保绩效自评工作顺利完成。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数据分析阶段。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过前期从线上收集的资料，结合实地调研掌握的情况以及问卷调查结果，评价组根据指标体系的对应指标对资料进行分类梳理，利用统计分析的方法，对提供的数据资料进行分析，提取有用的信息，形成分析结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撰写报告阶段。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评价组根据收集的各项资料和了解的相关情况，按照绩效评价要求和规定的文本格式撰兰州新区纪工委监工委（巡察办）2024年度部门整体支出绩效评价报告，并在要求的时间范围内提交内容完整、结论明确的报告初稿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四、评价结论和绩效分析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综合评价结论</w:t>
            </w:r>
          </w:p>
        </w:tc>
        <w:tc>
          <w:tcPr>
            <w:tcW w:w="18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评价得分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97分</w:t>
            </w:r>
          </w:p>
        </w:tc>
        <w:tc>
          <w:tcPr>
            <w:tcW w:w="390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评价等级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分析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部门整体支出率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部门管理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履职效果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能力建设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97分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得分率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OLE_LINK6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90%</w:t>
            </w:r>
            <w:bookmarkEnd w:id="5"/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6" w:name="OLE_LINK7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  <w:bookmarkEnd w:id="6"/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97%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五、存在问题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2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预算执行率不高。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2024年预算资金执行率78%，执行率不高，主要是项目资金预算执行率不高，只有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38%。主要原因是办案专项经费支付率低，2024年我委办理的纪检监察费用部分由上级纪检监察机关承担；巡察工作经费支付率低，主要原因是年初计划的培训、设备购置均因客观原因未落实。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六、相关建议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1.规范项目实施进度管理，进一步提升履职效能。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理制定项目前期计划和目标，建立有效的项目监督管理机制，建立“立、督、查、评、考”全链条督办工作体系，确保各项工作任务和目标顺利完成。具体包括聚焦部门职能、部门规划和年度重点工作任务、预算安排，提炼出明确可考核的部门整体和项目绩效目标、指标，强化预算与绩效管理一体化，从而有效提升部门履职效能。因特殊原因确实无法按计划完成的工作需及时作出调整，确保部门履职工作效应的有效发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2.贯彻全面实施预算绩效管理政策，严格做好各项绩效管理工作。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严格按照“谁支出、谁负责”的原则，完善全面预算绩效管理，单位财务部门是本单位预算绩效管理的牵头部门，业务部门是本单位预算绩效管理的具体实施部门，承担编报绩效目标、实施绩效跟踪、开展绩效评价等预算绩效管理职责，确保各项要求落到实处，建立健全本单位预算绩效管理工作机制，确保各部门年初设置明确绩效目标，并对绩效目标实现程度和预算执行进度实行“双监控”，以便发现问题、分析原因并及时纠正；同时有效实现项目绩效自评全覆盖，如实反映绩效目标实现结果，对绩效目标未达成或目标制定明显不合理的，及时作出说明并提出改进措施，提高部门履职效能和公共服务供给质量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七、其他需要说明的事项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1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bidi w:val="0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YTZkZTkxN2RmNjJmZjAzY2EyZDZlMjA3OGRlMTUifQ=="/>
  </w:docVars>
  <w:rsids>
    <w:rsidRoot w:val="50362AE6"/>
    <w:rsid w:val="00D76A86"/>
    <w:rsid w:val="01D874CD"/>
    <w:rsid w:val="036E0F6F"/>
    <w:rsid w:val="038B70FD"/>
    <w:rsid w:val="03973FA9"/>
    <w:rsid w:val="06EB3426"/>
    <w:rsid w:val="07C81D7B"/>
    <w:rsid w:val="0A2A723E"/>
    <w:rsid w:val="0A3F5E74"/>
    <w:rsid w:val="112F6356"/>
    <w:rsid w:val="13750B42"/>
    <w:rsid w:val="1A5B5BFF"/>
    <w:rsid w:val="1BC01759"/>
    <w:rsid w:val="1BD82927"/>
    <w:rsid w:val="1C7D48CD"/>
    <w:rsid w:val="1CB12288"/>
    <w:rsid w:val="1D01233B"/>
    <w:rsid w:val="1E4A5D6E"/>
    <w:rsid w:val="1FDE3E78"/>
    <w:rsid w:val="20176124"/>
    <w:rsid w:val="22CF36D7"/>
    <w:rsid w:val="24D55C78"/>
    <w:rsid w:val="266B6E4E"/>
    <w:rsid w:val="26BE4453"/>
    <w:rsid w:val="272D2898"/>
    <w:rsid w:val="27F03E2A"/>
    <w:rsid w:val="28EA6A6E"/>
    <w:rsid w:val="28EF2E48"/>
    <w:rsid w:val="2957286D"/>
    <w:rsid w:val="2A805ED8"/>
    <w:rsid w:val="2CB76567"/>
    <w:rsid w:val="308148AC"/>
    <w:rsid w:val="31AF440F"/>
    <w:rsid w:val="3246394F"/>
    <w:rsid w:val="32A76310"/>
    <w:rsid w:val="332736B7"/>
    <w:rsid w:val="35391CE5"/>
    <w:rsid w:val="399649CA"/>
    <w:rsid w:val="39D03040"/>
    <w:rsid w:val="41055F0D"/>
    <w:rsid w:val="417C1E8F"/>
    <w:rsid w:val="41894C7C"/>
    <w:rsid w:val="48054931"/>
    <w:rsid w:val="485D55BF"/>
    <w:rsid w:val="4BA61945"/>
    <w:rsid w:val="4E1D775A"/>
    <w:rsid w:val="50362AE6"/>
    <w:rsid w:val="50447C2B"/>
    <w:rsid w:val="52555572"/>
    <w:rsid w:val="533D715B"/>
    <w:rsid w:val="54C310C9"/>
    <w:rsid w:val="54E92EBD"/>
    <w:rsid w:val="55F56D34"/>
    <w:rsid w:val="573F7050"/>
    <w:rsid w:val="5915699E"/>
    <w:rsid w:val="5C641B24"/>
    <w:rsid w:val="5F851FA3"/>
    <w:rsid w:val="5FEE39B7"/>
    <w:rsid w:val="619736C1"/>
    <w:rsid w:val="62564F40"/>
    <w:rsid w:val="62D4308F"/>
    <w:rsid w:val="65CD64C7"/>
    <w:rsid w:val="680C3C00"/>
    <w:rsid w:val="6FF269CE"/>
    <w:rsid w:val="70721B59"/>
    <w:rsid w:val="726448F9"/>
    <w:rsid w:val="74030452"/>
    <w:rsid w:val="76522867"/>
    <w:rsid w:val="76EF360E"/>
    <w:rsid w:val="775D21EC"/>
    <w:rsid w:val="77B04009"/>
    <w:rsid w:val="77B82F42"/>
    <w:rsid w:val="781E54A5"/>
    <w:rsid w:val="7AE07C8F"/>
    <w:rsid w:val="7D1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480" w:firstLineChars="200"/>
      <w:jc w:val="both"/>
      <w:outlineLvl w:val="0"/>
    </w:pPr>
    <w:rPr>
      <w:rFonts w:ascii="黑体" w:hAnsi="黑体" w:eastAsia="黑体" w:cs="黑体"/>
      <w:kern w:val="44"/>
      <w:szCs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topLinePunct/>
      <w:spacing w:before="0" w:beforeAutospacing="0" w:after="0" w:afterAutospacing="0"/>
      <w:jc w:val="left"/>
      <w:outlineLvl w:val="1"/>
    </w:pPr>
    <w:rPr>
      <w:rFonts w:hint="eastAsia" w:ascii="楷体" w:hAnsi="楷体" w:eastAsia="楷体" w:cs="楷体"/>
      <w:b/>
      <w:bCs/>
      <w:kern w:val="0"/>
      <w:lang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1 Char"/>
    <w:link w:val="5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2546</Words>
  <Characters>2687</Characters>
  <Lines>0</Lines>
  <Paragraphs>0</Paragraphs>
  <TotalTime>83</TotalTime>
  <ScaleCrop>false</ScaleCrop>
  <LinksUpToDate>false</LinksUpToDate>
  <CharactersWithSpaces>2692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2023-10-27T06:19:00Z</dcterms:created>
  <dc:creator>阁下。</dc:creator>
  <cp:lastModifiedBy>Administrator</cp:lastModifiedBy>
  <cp:lastPrinted>2024-09-18T02:04:00Z</cp:lastPrinted>
  <dcterms:modified xsi:type="dcterms:W3CDTF">2025-09-26T04:01:21Z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957531D816D84DE98858295C50E97B6C_11</vt:lpwstr>
  </property>
  <property fmtid="{D5CDD505-2E9C-101B-9397-08002B2CF9AE}" pid="4" name="KSOTemplateDocerSaveRecord">
    <vt:lpwstr>eyJoZGlkIjoiZWI5ODE5Y2FjNGUwZWYwY2Y1YTc5MTBmMTU2ODAyNmYiLCJ1c2VySWQiOiI1NjExNjEzNDgifQ==</vt:lpwstr>
  </property>
</Properties>
</file>