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eastAsia="黑体"/>
          <w:sz w:val="30"/>
          <w:szCs w:val="30"/>
        </w:rPr>
      </w:pPr>
      <w:bookmarkStart w:id="0" w:name="_GoBack"/>
      <w:bookmarkEnd w:id="0"/>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10706" w:type="dxa"/>
        <w:jc w:val="center"/>
        <w:tblLayout w:type="fixed"/>
        <w:tblCellMar>
          <w:top w:w="0" w:type="dxa"/>
          <w:left w:w="108" w:type="dxa"/>
          <w:bottom w:w="0" w:type="dxa"/>
          <w:right w:w="108" w:type="dxa"/>
        </w:tblCellMar>
      </w:tblPr>
      <w:tblGrid>
        <w:gridCol w:w="1578"/>
        <w:gridCol w:w="2334"/>
        <w:gridCol w:w="1606"/>
        <w:gridCol w:w="2610"/>
        <w:gridCol w:w="383"/>
        <w:gridCol w:w="1000"/>
        <w:gridCol w:w="1195"/>
      </w:tblGrid>
      <w:tr>
        <w:tblPrEx>
          <w:tblCellMar>
            <w:top w:w="0" w:type="dxa"/>
            <w:left w:w="108" w:type="dxa"/>
            <w:bottom w:w="0" w:type="dxa"/>
            <w:right w:w="108" w:type="dxa"/>
          </w:tblCellMar>
        </w:tblPrEx>
        <w:trPr>
          <w:cantSplit/>
          <w:trHeight w:val="20" w:hRule="atLeast"/>
          <w:jc w:val="center"/>
        </w:trPr>
        <w:tc>
          <w:tcPr>
            <w:tcW w:w="1578" w:type="dxa"/>
            <w:tcBorders>
              <w:top w:val="single" w:color="000000" w:sz="6" w:space="0"/>
              <w:left w:val="nil"/>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部门（单位）名称</w:t>
            </w:r>
          </w:p>
        </w:tc>
        <w:tc>
          <w:tcPr>
            <w:tcW w:w="9128" w:type="dxa"/>
            <w:gridSpan w:val="6"/>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20"/>
                <w:szCs w:val="20"/>
                <w:u w:val="none"/>
                <w:lang w:val="en-US" w:eastAsia="zh-CN" w:bidi="ar"/>
              </w:rPr>
              <w:t>兰州新区西岔综合门诊部</w:t>
            </w:r>
          </w:p>
        </w:tc>
      </w:tr>
      <w:tr>
        <w:tblPrEx>
          <w:tblCellMar>
            <w:top w:w="0" w:type="dxa"/>
            <w:left w:w="108" w:type="dxa"/>
            <w:bottom w:w="0" w:type="dxa"/>
            <w:right w:w="108" w:type="dxa"/>
          </w:tblCellMar>
        </w:tblPrEx>
        <w:trPr>
          <w:cantSplit/>
          <w:trHeight w:val="321" w:hRule="atLeast"/>
          <w:jc w:val="center"/>
        </w:trPr>
        <w:tc>
          <w:tcPr>
            <w:tcW w:w="1578" w:type="dxa"/>
            <w:vMerge w:val="restart"/>
            <w:tcBorders>
              <w:top w:val="single" w:color="000000" w:sz="6" w:space="0"/>
              <w:left w:val="nil"/>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总 体 目 标</w:t>
            </w:r>
          </w:p>
        </w:tc>
        <w:tc>
          <w:tcPr>
            <w:tcW w:w="9128" w:type="dxa"/>
            <w:gridSpan w:val="6"/>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left"/>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目标1：保证2024年度人员工资、社保正常发放；</w:t>
            </w:r>
          </w:p>
        </w:tc>
      </w:tr>
      <w:tr>
        <w:tblPrEx>
          <w:tblCellMar>
            <w:top w:w="0" w:type="dxa"/>
            <w:left w:w="108" w:type="dxa"/>
            <w:bottom w:w="0" w:type="dxa"/>
            <w:right w:w="108" w:type="dxa"/>
          </w:tblCellMar>
        </w:tblPrEx>
        <w:trPr>
          <w:cantSplit/>
          <w:trHeight w:val="20" w:hRule="atLeast"/>
          <w:jc w:val="center"/>
        </w:trPr>
        <w:tc>
          <w:tcPr>
            <w:tcW w:w="1578" w:type="dxa"/>
            <w:vMerge w:val="continue"/>
            <w:tcBorders>
              <w:top w:val="single" w:color="000000" w:sz="6" w:space="0"/>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9128" w:type="dxa"/>
            <w:gridSpan w:val="6"/>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left"/>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目标2：保证2024年度医院各项工作开展；</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9128" w:type="dxa"/>
            <w:gridSpan w:val="6"/>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left"/>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目标3：开展精神卫生、创伤等专科服务； </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9128" w:type="dxa"/>
            <w:gridSpan w:val="6"/>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left"/>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目标4：开展辖区大中专院校健康教育、健康体检、心理咨询等诊疗任务；</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9128" w:type="dxa"/>
            <w:gridSpan w:val="6"/>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left"/>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目标5：加强领导，统一安排，兰州新区西岔综合门诊部作为新区卫生健康委员会直属管理的二级合公立院，以人为本，全心全意为人民健康服务；进一步解决居民以及辖区大中专学生看病难看病远的难题；</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9128" w:type="dxa"/>
            <w:gridSpan w:val="6"/>
            <w:tcBorders>
              <w:top w:val="single" w:color="000000" w:sz="6" w:space="0"/>
              <w:left w:val="single" w:color="000000" w:sz="6" w:space="0"/>
              <w:right w:val="single" w:color="000000" w:sz="6" w:space="0"/>
              <w:tl2br w:val="nil"/>
              <w:tr2bl w:val="nil"/>
            </w:tcBorders>
            <w:vAlign w:val="center"/>
          </w:tcPr>
          <w:p>
            <w:pPr>
              <w:keepNext w:val="0"/>
              <w:keepLines w:val="0"/>
              <w:widowControl/>
              <w:suppressLineNumbers w:val="0"/>
              <w:jc w:val="left"/>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目标6：全力发展医疗业务，医疗收入实现稳步提升。</w:t>
            </w:r>
          </w:p>
        </w:tc>
      </w:tr>
      <w:tr>
        <w:tblPrEx>
          <w:tblCellMar>
            <w:top w:w="0" w:type="dxa"/>
            <w:left w:w="108" w:type="dxa"/>
            <w:bottom w:w="0" w:type="dxa"/>
            <w:right w:w="108" w:type="dxa"/>
          </w:tblCellMar>
        </w:tblPrEx>
        <w:trPr>
          <w:cantSplit/>
          <w:trHeight w:val="20" w:hRule="atLeast"/>
          <w:jc w:val="center"/>
        </w:trPr>
        <w:tc>
          <w:tcPr>
            <w:tcW w:w="1578" w:type="dxa"/>
            <w:vMerge w:val="restart"/>
            <w:tcBorders>
              <w:left w:val="nil"/>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预 算 情 况（万元）</w:t>
            </w:r>
          </w:p>
        </w:tc>
        <w:tc>
          <w:tcPr>
            <w:tcW w:w="3940" w:type="dxa"/>
            <w:gridSpan w:val="2"/>
            <w:tcBorders>
              <w:left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按支出类型分</w:t>
            </w:r>
          </w:p>
        </w:tc>
        <w:tc>
          <w:tcPr>
            <w:tcW w:w="2610"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预算金额</w:t>
            </w:r>
          </w:p>
        </w:tc>
        <w:tc>
          <w:tcPr>
            <w:tcW w:w="138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color w:val="000000"/>
                <w:sz w:val="18"/>
                <w:szCs w:val="18"/>
              </w:rPr>
            </w:pPr>
            <w:r>
              <w:rPr>
                <w:rFonts w:hint="eastAsia" w:ascii="宋体" w:hAnsi="宋体" w:eastAsia="宋体" w:cs="宋体"/>
                <w:i w:val="0"/>
                <w:iCs w:val="0"/>
                <w:color w:val="000000"/>
                <w:kern w:val="0"/>
                <w:sz w:val="18"/>
                <w:szCs w:val="18"/>
                <w:u w:val="none"/>
                <w:lang w:val="en-US" w:eastAsia="zh-CN" w:bidi="ar"/>
              </w:rPr>
              <w:t>按来源类型分</w:t>
            </w:r>
          </w:p>
        </w:tc>
        <w:tc>
          <w:tcPr>
            <w:tcW w:w="1195" w:type="dxa"/>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预算金额</w:t>
            </w:r>
          </w:p>
        </w:tc>
      </w:tr>
      <w:tr>
        <w:tblPrEx>
          <w:tblCellMar>
            <w:top w:w="0" w:type="dxa"/>
            <w:left w:w="108" w:type="dxa"/>
            <w:bottom w:w="0" w:type="dxa"/>
            <w:right w:w="108" w:type="dxa"/>
          </w:tblCellMar>
        </w:tblPrEx>
        <w:trPr>
          <w:cantSplit/>
          <w:trHeight w:val="274" w:hRule="atLeast"/>
          <w:jc w:val="center"/>
        </w:trPr>
        <w:tc>
          <w:tcPr>
            <w:tcW w:w="1578" w:type="dxa"/>
            <w:vMerge w:val="continue"/>
            <w:tcBorders>
              <w:top w:val="single" w:color="000000" w:sz="6" w:space="0"/>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2334"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基本支出</w:t>
            </w:r>
          </w:p>
        </w:tc>
        <w:tc>
          <w:tcPr>
            <w:tcW w:w="160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2610" w:type="dxa"/>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473.39</w:t>
            </w:r>
          </w:p>
        </w:tc>
        <w:tc>
          <w:tcPr>
            <w:tcW w:w="138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当年财政拨款</w:t>
            </w:r>
          </w:p>
        </w:tc>
        <w:tc>
          <w:tcPr>
            <w:tcW w:w="1195" w:type="dxa"/>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520.64</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公用经费</w:t>
            </w:r>
          </w:p>
        </w:tc>
        <w:tc>
          <w:tcPr>
            <w:tcW w:w="2610" w:type="dxa"/>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47.25</w:t>
            </w:r>
          </w:p>
        </w:tc>
        <w:tc>
          <w:tcPr>
            <w:tcW w:w="138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上年结转资金</w:t>
            </w:r>
          </w:p>
        </w:tc>
        <w:tc>
          <w:tcPr>
            <w:tcW w:w="1195" w:type="dxa"/>
            <w:tcBorders>
              <w:top w:val="single" w:color="000000" w:sz="6" w:space="0"/>
              <w:left w:val="single" w:color="000000" w:sz="6" w:space="0"/>
              <w:bottom w:val="single" w:color="000000" w:sz="6" w:space="0"/>
              <w:right w:val="nil"/>
            </w:tcBorders>
            <w:vAlign w:val="center"/>
          </w:tcPr>
          <w:p>
            <w:pPr>
              <w:jc w:val="center"/>
            </w:pP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合计</w:t>
            </w:r>
          </w:p>
        </w:tc>
        <w:tc>
          <w:tcPr>
            <w:tcW w:w="2610" w:type="dxa"/>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520.64</w:t>
            </w:r>
          </w:p>
        </w:tc>
        <w:tc>
          <w:tcPr>
            <w:tcW w:w="138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其他资金</w:t>
            </w:r>
          </w:p>
        </w:tc>
        <w:tc>
          <w:tcPr>
            <w:tcW w:w="1195" w:type="dxa"/>
            <w:tcBorders>
              <w:top w:val="single" w:color="000000" w:sz="6" w:space="0"/>
              <w:left w:val="single" w:color="000000" w:sz="6" w:space="0"/>
              <w:bottom w:val="single" w:color="000000" w:sz="6" w:space="0"/>
              <w:right w:val="nil"/>
            </w:tcBorders>
            <w:vAlign w:val="center"/>
          </w:tcPr>
          <w:p>
            <w:pPr>
              <w:jc w:val="center"/>
            </w:pPr>
          </w:p>
        </w:tc>
      </w:tr>
      <w:tr>
        <w:tblPrEx>
          <w:tblCellMar>
            <w:top w:w="0" w:type="dxa"/>
            <w:left w:w="108" w:type="dxa"/>
            <w:bottom w:w="0" w:type="dxa"/>
            <w:right w:w="108" w:type="dxa"/>
          </w:tblCellMar>
        </w:tblPrEx>
        <w:trPr>
          <w:cantSplit/>
          <w:trHeight w:val="289" w:hRule="atLeast"/>
          <w:jc w:val="center"/>
        </w:trPr>
        <w:tc>
          <w:tcPr>
            <w:tcW w:w="1578"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3940"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项目支出</w:t>
            </w:r>
          </w:p>
        </w:tc>
        <w:tc>
          <w:tcPr>
            <w:tcW w:w="2610" w:type="dxa"/>
            <w:vMerge w:val="restart"/>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c>
          <w:tcPr>
            <w:tcW w:w="138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收入预算合计</w:t>
            </w:r>
          </w:p>
        </w:tc>
        <w:tc>
          <w:tcPr>
            <w:tcW w:w="1195" w:type="dxa"/>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3940"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2610" w:type="dxa"/>
            <w:vMerge w:val="continue"/>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c>
          <w:tcPr>
            <w:tcW w:w="138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支出预算合计</w:t>
            </w:r>
          </w:p>
        </w:tc>
        <w:tc>
          <w:tcPr>
            <w:tcW w:w="1195" w:type="dxa"/>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cantSplit/>
          <w:trHeight w:val="20" w:hRule="atLeast"/>
          <w:jc w:val="center"/>
        </w:trPr>
        <w:tc>
          <w:tcPr>
            <w:tcW w:w="1578" w:type="dxa"/>
            <w:vMerge w:val="restart"/>
            <w:tcBorders>
              <w:left w:val="nil"/>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绩 效 指 标</w:t>
            </w:r>
          </w:p>
        </w:tc>
        <w:tc>
          <w:tcPr>
            <w:tcW w:w="23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一级指标</w:t>
            </w:r>
          </w:p>
        </w:tc>
        <w:tc>
          <w:tcPr>
            <w:tcW w:w="160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二级指标</w:t>
            </w:r>
          </w:p>
        </w:tc>
        <w:tc>
          <w:tcPr>
            <w:tcW w:w="299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三级指标</w:t>
            </w:r>
          </w:p>
        </w:tc>
        <w:tc>
          <w:tcPr>
            <w:tcW w:w="2195"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指标值</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2334"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部门管理</w:t>
            </w:r>
          </w:p>
        </w:tc>
        <w:tc>
          <w:tcPr>
            <w:tcW w:w="1606"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资金投入</w:t>
            </w:r>
          </w:p>
        </w:tc>
        <w:tc>
          <w:tcPr>
            <w:tcW w:w="299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基本支出预算执行率</w:t>
            </w:r>
          </w:p>
        </w:tc>
        <w:tc>
          <w:tcPr>
            <w:tcW w:w="2195"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0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299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项目支出预算执行率</w:t>
            </w:r>
          </w:p>
        </w:tc>
        <w:tc>
          <w:tcPr>
            <w:tcW w:w="2195"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0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2993"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三公经费控制情况</w:t>
            </w:r>
          </w:p>
        </w:tc>
        <w:tc>
          <w:tcPr>
            <w:tcW w:w="2195" w:type="dxa"/>
            <w:gridSpan w:val="2"/>
            <w:tcBorders>
              <w:top w:val="single" w:color="000000" w:sz="6" w:space="0"/>
              <w:left w:val="single" w:color="000000" w:sz="6" w:space="0"/>
              <w:bottom w:val="single" w:color="000000" w:sz="6" w:space="0"/>
              <w:right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下降</w:t>
            </w:r>
          </w:p>
        </w:tc>
      </w:tr>
      <w:tr>
        <w:tblPrEx>
          <w:tblCellMar>
            <w:top w:w="0" w:type="dxa"/>
            <w:left w:w="108" w:type="dxa"/>
            <w:bottom w:w="0" w:type="dxa"/>
            <w:right w:w="108" w:type="dxa"/>
          </w:tblCellMar>
        </w:tblPrEx>
        <w:trPr>
          <w:cantSplit/>
          <w:trHeight w:val="9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专项经费支出安排合理性</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合理</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财务管理</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财务管理制度健全性</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健全</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资金使用合规性</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合规</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政府采购合规性</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合规</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人员管理</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人员编制合规性</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合规</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人事管理制度健全性</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健全</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资产管理</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资产管理制度健全性</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健全</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资产清查情况</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部门工作管理</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医疗业务开展情况</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开展</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公共卫生开展情况</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开展</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履职效果</w:t>
            </w: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诊疗服务</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提供预防保健，基本医疗，健康教育，康复等综合性服务</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公共卫生管理</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承担辖区内公共卫生管理</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满意度</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受益者满意度</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提高基本公共卫生覆盖能力</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医疗收入稳步提升</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上涨20%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满足周边群众医疗需求</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满足</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保障本单位相关工作正常开展（%）</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能力建设</w:t>
            </w: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档案管理</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档案管理情况</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完备</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信息化建设情况</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信息化管理覆盖率</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cantSplit/>
          <w:trHeight w:val="20" w:hRule="atLeast"/>
          <w:jc w:val="center"/>
        </w:trPr>
        <w:tc>
          <w:tcPr>
            <w:tcW w:w="1578"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2334"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06"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Theme="minorEastAsia" w:hAnsiTheme="minorEastAsia" w:eastAsiaTheme="minorEastAsia"/>
                <w:bCs/>
                <w:color w:val="000000"/>
                <w:sz w:val="18"/>
                <w:szCs w:val="18"/>
              </w:rPr>
            </w:pPr>
            <w:r>
              <w:rPr>
                <w:rFonts w:hint="eastAsia" w:ascii="宋体" w:hAnsi="宋体" w:eastAsia="宋体" w:cs="宋体"/>
                <w:i w:val="0"/>
                <w:iCs w:val="0"/>
                <w:color w:val="000000"/>
                <w:kern w:val="0"/>
                <w:sz w:val="18"/>
                <w:szCs w:val="18"/>
                <w:u w:val="none"/>
                <w:lang w:val="en-US" w:eastAsia="zh-CN" w:bidi="ar"/>
              </w:rPr>
              <w:t>公卫建档情况</w:t>
            </w:r>
          </w:p>
        </w:tc>
        <w:tc>
          <w:tcPr>
            <w:tcW w:w="2993"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公卫建档覆盖率</w:t>
            </w:r>
          </w:p>
        </w:tc>
        <w:tc>
          <w:tcPr>
            <w:tcW w:w="2195"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90%</w:t>
            </w:r>
          </w:p>
        </w:tc>
      </w:tr>
    </w:tbl>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3" w:type="pct"/>
            <w:gridSpan w:val="6"/>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7" w:type="pct"/>
            <w:gridSpan w:val="3"/>
            <w:vAlign w:val="center"/>
          </w:tcPr>
          <w:p>
            <w:pPr>
              <w:widowControl/>
              <w:spacing w:line="360" w:lineRule="exact"/>
              <w:jc w:val="center"/>
              <w:rPr>
                <w:rFonts w:cs="宋体" w:asciiTheme="minorEastAsia" w:hAnsiTheme="minorEastAsia" w:eastAsiaTheme="minorEastAsia"/>
                <w:kern w:val="0"/>
                <w:sz w:val="18"/>
                <w:szCs w:val="18"/>
              </w:rPr>
            </w:pPr>
          </w:p>
        </w:tc>
        <w:tc>
          <w:tcPr>
            <w:tcW w:w="1089"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7" w:type="pct"/>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7"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5" w:type="pct"/>
            <w:gridSpan w:val="7"/>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9"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b/>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bl>
    <w:p>
      <w:pPr>
        <w:tabs>
          <w:tab w:val="left" w:pos="1848"/>
        </w:tabs>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BoldMT">
    <w:altName w:val="Segoe Print"/>
    <w:panose1 w:val="00000000000000000000"/>
    <w:charset w:val="00"/>
    <w:family w:val="roman"/>
    <w:pitch w:val="default"/>
    <w:sig w:usb0="00000000" w:usb1="00000000" w:usb2="00000000" w:usb3="00000000" w:csb0="00000000" w:csb1="00000000"/>
  </w:font>
  <w:font w:name="CIDFont+F6">
    <w:altName w:val="仿宋"/>
    <w:panose1 w:val="00000000000000000000"/>
    <w:charset w:val="00"/>
    <w:family w:val="roman"/>
    <w:pitch w:val="default"/>
    <w:sig w:usb0="00000000" w:usb1="00000000" w:usb2="00000000" w:usb3="00000000" w:csb0="00000000" w:csb1="00000000"/>
  </w:font>
  <w:font w:name="CIDFont+F4">
    <w:altName w:val="仿宋"/>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OGRmMmJmMjg2NTNjMmY5ODk5NjlmYmUyOGYxNTQ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641FB"/>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0370"/>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DB6127"/>
    <w:rsid w:val="0295277A"/>
    <w:rsid w:val="06085010"/>
    <w:rsid w:val="06636682"/>
    <w:rsid w:val="07D93108"/>
    <w:rsid w:val="0DC108C7"/>
    <w:rsid w:val="10D4446D"/>
    <w:rsid w:val="113741D2"/>
    <w:rsid w:val="11AC0F5B"/>
    <w:rsid w:val="19BC1F42"/>
    <w:rsid w:val="1D34261E"/>
    <w:rsid w:val="1F9A66E1"/>
    <w:rsid w:val="22EF3388"/>
    <w:rsid w:val="23612324"/>
    <w:rsid w:val="25496D80"/>
    <w:rsid w:val="256C2A6E"/>
    <w:rsid w:val="289522DC"/>
    <w:rsid w:val="29CE1F49"/>
    <w:rsid w:val="31ED3189"/>
    <w:rsid w:val="344C063B"/>
    <w:rsid w:val="38B52C4D"/>
    <w:rsid w:val="3EF43DA9"/>
    <w:rsid w:val="409C46F8"/>
    <w:rsid w:val="420F4A55"/>
    <w:rsid w:val="4BBF129A"/>
    <w:rsid w:val="4C5C289C"/>
    <w:rsid w:val="4E4B5067"/>
    <w:rsid w:val="505563DC"/>
    <w:rsid w:val="52271947"/>
    <w:rsid w:val="527E074E"/>
    <w:rsid w:val="5511700B"/>
    <w:rsid w:val="553630E0"/>
    <w:rsid w:val="57483C61"/>
    <w:rsid w:val="579503FF"/>
    <w:rsid w:val="59633BAD"/>
    <w:rsid w:val="5E4755EA"/>
    <w:rsid w:val="5F26177B"/>
    <w:rsid w:val="60011A2A"/>
    <w:rsid w:val="6023392A"/>
    <w:rsid w:val="60535296"/>
    <w:rsid w:val="623A7E5F"/>
    <w:rsid w:val="681F1E72"/>
    <w:rsid w:val="6A3C022E"/>
    <w:rsid w:val="6D205BE5"/>
    <w:rsid w:val="72FD2525"/>
    <w:rsid w:val="74B31505"/>
    <w:rsid w:val="755C3532"/>
    <w:rsid w:val="77DB72D8"/>
    <w:rsid w:val="77FBD58C"/>
    <w:rsid w:val="7F0F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qFormat/>
    <w:uiPriority w:val="0"/>
    <w:pPr>
      <w:jc w:val="left"/>
    </w:pPr>
  </w:style>
  <w:style w:type="paragraph" w:styleId="4">
    <w:name w:val="Balloon Text"/>
    <w:basedOn w:val="1"/>
    <w:link w:val="15"/>
    <w:autoRedefine/>
    <w:qFormat/>
    <w:uiPriority w:val="0"/>
    <w:rPr>
      <w:sz w:val="18"/>
      <w:szCs w:val="18"/>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qFormat/>
    <w:uiPriority w:val="0"/>
  </w:style>
  <w:style w:type="character" w:styleId="11">
    <w:name w:val="annotation reference"/>
    <w:autoRedefine/>
    <w:qFormat/>
    <w:uiPriority w:val="0"/>
    <w:rPr>
      <w:sz w:val="21"/>
      <w:szCs w:val="21"/>
    </w:rPr>
  </w:style>
  <w:style w:type="character" w:customStyle="1" w:styleId="12">
    <w:name w:val="页脚 Char"/>
    <w:link w:val="5"/>
    <w:autoRedefine/>
    <w:qFormat/>
    <w:uiPriority w:val="0"/>
    <w:rPr>
      <w:sz w:val="18"/>
      <w:szCs w:val="18"/>
    </w:rPr>
  </w:style>
  <w:style w:type="character" w:customStyle="1" w:styleId="13">
    <w:name w:val="页眉 Char"/>
    <w:link w:val="6"/>
    <w:autoRedefine/>
    <w:qFormat/>
    <w:uiPriority w:val="0"/>
    <w:rPr>
      <w:sz w:val="18"/>
      <w:szCs w:val="18"/>
    </w:rPr>
  </w:style>
  <w:style w:type="paragraph" w:styleId="14">
    <w:name w:val="List Paragraph"/>
    <w:basedOn w:val="1"/>
    <w:autoRedefine/>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autoRedefine/>
    <w:qFormat/>
    <w:uiPriority w:val="0"/>
    <w:rPr>
      <w:rFonts w:ascii="Times New Roman" w:hAnsi="Times New Roman"/>
      <w:b/>
      <w:bCs/>
      <w:kern w:val="44"/>
      <w:sz w:val="44"/>
      <w:szCs w:val="44"/>
    </w:rPr>
  </w:style>
  <w:style w:type="paragraph" w:customStyle="1" w:styleId="17">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autoRedefine/>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autoRedefine/>
    <w:qFormat/>
    <w:uiPriority w:val="0"/>
    <w:rPr>
      <w:rFonts w:hint="default" w:ascii="TimesNewRomanPSMT" w:hAnsi="TimesNewRomanPSMT"/>
      <w:color w:val="000000"/>
      <w:sz w:val="32"/>
      <w:szCs w:val="32"/>
    </w:rPr>
  </w:style>
  <w:style w:type="character" w:customStyle="1" w:styleId="22">
    <w:name w:val="fontstyle11"/>
    <w:autoRedefine/>
    <w:qFormat/>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 w:type="character" w:customStyle="1" w:styleId="24">
    <w:name w:val="font101"/>
    <w:basedOn w:val="9"/>
    <w:autoRedefine/>
    <w:qFormat/>
    <w:uiPriority w:val="0"/>
    <w:rPr>
      <w:rFonts w:hint="eastAsia" w:ascii="宋体" w:hAnsi="宋体" w:eastAsia="宋体" w:cs="宋体"/>
      <w:b/>
      <w:bCs/>
      <w:color w:val="000000"/>
      <w:sz w:val="18"/>
      <w:szCs w:val="18"/>
      <w:u w:val="none"/>
    </w:rPr>
  </w:style>
  <w:style w:type="character" w:customStyle="1" w:styleId="25">
    <w:name w:val="font41"/>
    <w:basedOn w:val="9"/>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67</TotalTime>
  <ScaleCrop>false</ScaleCrop>
  <LinksUpToDate>false</LinksUpToDate>
  <CharactersWithSpaces>9630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2024-01-30T17:03:00Z</dcterms:created>
  <dc:creator>home</dc:creator>
  <cp:lastModifiedBy>香蕉梨的夏天</cp:lastModifiedBy>
  <cp:lastPrinted>2024-03-11T09:26:00Z</cp:lastPrinted>
  <dcterms:modified xsi:type="dcterms:W3CDTF">2024-03-13T09:59:24Z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FE9AFC1D0A6349529FF78FC2DA279002_13</vt:lpwstr>
  </property>
</Properties>
</file>