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预算执行情况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自评报告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为了提高财政资金使用效益，根据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兰州新区</w:t>
      </w:r>
      <w:r>
        <w:rPr>
          <w:rFonts w:hint="eastAsia" w:ascii="仿宋" w:hAnsi="仿宋" w:eastAsia="仿宋" w:cs="仿宋"/>
          <w:sz w:val="32"/>
          <w:szCs w:val="32"/>
        </w:rPr>
        <w:t>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文件精神，本着“深度拓展、提升质量、公平公正、着力实效”的工作原则，我单位对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年部门整体支出开展了绩效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自评</w:t>
      </w:r>
      <w:r>
        <w:rPr>
          <w:rFonts w:hint="eastAsia" w:ascii="仿宋" w:hAnsi="仿宋" w:eastAsia="仿宋" w:cs="仿宋"/>
          <w:sz w:val="32"/>
          <w:szCs w:val="32"/>
        </w:rPr>
        <w:t>工作，现将部门整体支出绩效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自评</w:t>
      </w:r>
      <w:r>
        <w:rPr>
          <w:rFonts w:hint="eastAsia" w:ascii="仿宋" w:hAnsi="仿宋" w:eastAsia="仿宋" w:cs="仿宋"/>
          <w:sz w:val="32"/>
          <w:szCs w:val="32"/>
        </w:rPr>
        <w:t xml:space="preserve">情况报告如下：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单位概况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单位主要职能：</w:t>
      </w:r>
    </w:p>
    <w:p>
      <w:pPr>
        <w:numPr>
          <w:ilvl w:val="0"/>
          <w:numId w:val="3"/>
        </w:numPr>
        <w:ind w:left="0" w:leftChars="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实施小学义务教育，促进基础教育发展。</w:t>
      </w:r>
    </w:p>
    <w:p>
      <w:pPr>
        <w:numPr>
          <w:ilvl w:val="0"/>
          <w:numId w:val="3"/>
        </w:numPr>
        <w:ind w:left="0" w:leftChars="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负责本乡镇辖区内小学、幼儿园的德育、教学、教研、后勤等管理事务。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年末共有机构数是1家，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其中全额预算单位为14家（小学7个、公办幼儿园7个）。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2021年末共有财政供养人数396人，其中在职人员396人，比上年增加30人，增加比率7.5%，其原因是学校合并人员划转，人数增加。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资产管理情况：</w:t>
      </w:r>
    </w:p>
    <w:p>
      <w:pPr>
        <w:numPr>
          <w:ilvl w:val="0"/>
          <w:numId w:val="0"/>
        </w:num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本单位严格按照内控手册制度和流程执行采购、验收、管理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处理。对购入资产进行登记管理，指定使用人、管理人，存放地点，统一录入资产管理系统，对需处置的资产，找出原始发票凭证，填写处置表，手续齐全，交业务管理员审核，领导审批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国资处</w:t>
      </w:r>
      <w:r>
        <w:rPr>
          <w:rFonts w:hint="eastAsia" w:ascii="仿宋" w:hAnsi="仿宋" w:eastAsia="仿宋" w:cs="仿宋"/>
          <w:sz w:val="32"/>
          <w:szCs w:val="32"/>
        </w:rPr>
        <w:t>审批，会计帐务处理，系统下帐处理。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年度绩效目标：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加强教师思想政治素质教育，提高育人水平。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有序开展教研学活动，全面推动教学中心工作。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注重培训，加强实践，多渠道开展教育教学评优选先活动，促进教师专业成长。         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努力改善办学条件，进一步优化育人环境。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切实加强校园安全工作，创建平安和谐校园，营造安全、稳定、文明、健康的育人环境。</w:t>
      </w:r>
    </w:p>
    <w:p>
      <w:pPr>
        <w:numPr>
          <w:ilvl w:val="0"/>
          <w:numId w:val="4"/>
        </w:numPr>
        <w:ind w:left="19" w:leftChars="0" w:firstLine="819" w:firstLineChars="2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积极转型校园文化建设。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当年预算情况： </w:t>
      </w:r>
    </w:p>
    <w:p>
      <w:pPr>
        <w:numPr>
          <w:ilvl w:val="0"/>
          <w:numId w:val="0"/>
        </w:num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预算编制严格按照上级部门要求编制并及时报送、公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示，</w:t>
      </w:r>
      <w:r>
        <w:rPr>
          <w:rFonts w:hint="eastAsia" w:ascii="仿宋" w:hAnsi="仿宋" w:eastAsia="仿宋" w:cs="仿宋"/>
          <w:sz w:val="32"/>
          <w:szCs w:val="32"/>
        </w:rPr>
        <w:t>预算总体执行进度按预算资金下达时间执行，“三公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 xml:space="preserve">”严格按照预算标准执行，不存在超预算等行为。 </w:t>
      </w:r>
    </w:p>
    <w:p>
      <w:pPr>
        <w:spacing w:before="100" w:beforeLines="0" w:after="100" w:afterLines="0"/>
        <w:ind w:left="0" w:leftChars="0" w:firstLine="664" w:firstLineChars="200"/>
        <w:jc w:val="left"/>
        <w:rPr>
          <w:rFonts w:hint="eastAsia" w:ascii="仿宋" w:hAnsi="仿宋" w:eastAsia="仿宋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年单位年初部门预算数为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7121.46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元，实际财政拨款总收入为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7603.25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决算增加的主要原因是学校合并，教师人数增加，相应人员经费增加。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单位本年支出预算数为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7121.46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7604.74万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</w:rPr>
        <w:t>元，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其中基本支出预算数为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7121.46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7604.74万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元；项目支出预算数为0万元，决算数为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元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单位预算绩效管理开展情况 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根据绩效自评工作要求，切实加强资金使用效力，确保资金准确高效使用，领导高度重视自评工作，组织人员展开绩效自评工作，通过查询资金使用情况和佐证资料，运用比较法，展开绩效自评工作。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我单位坚持统筹兼顾、勤俭节约、量入为出、讲求绩效原则，牢固树立过“紧日子”观念，严格控制和压减一般性支出，提高资金使用效益。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年我单位所有财政性资金、项目资金都纳入绩效管理的范围。按照“统一领导、分级管理；程序规范，重点突出；客观公正，公开透明”的原则宣传绩效理念，培育绩效文化。基本构建起“预算编制有目标、预算执行有监控、预算完成有评价、评价结果有反馈、反馈结果有应用”的预算绩效管理机制和覆盖预算管理事前、事中、事后全过程的预算绩效管理体系，有效促进了财政资金使用绩效的提高。进一步推进单位整体绩效评价全覆盖，推进绩效信息公开。加强预算绩效信息发布管理制度建设，完善绩效信息公开机制，回应社会关切，接受社会监督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整体支出绩效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自评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ascii="仿宋" w:hAnsi="仿宋" w:eastAsia="仿宋" w:cs="宋体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（一）部门决算情况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 xml:space="preserve"> </w:t>
      </w:r>
    </w:p>
    <w:p>
      <w:pPr>
        <w:widowControl/>
        <w:spacing w:line="360" w:lineRule="auto"/>
        <w:ind w:firstLine="733" w:firstLineChars="221"/>
        <w:jc w:val="left"/>
        <w:rPr>
          <w:rFonts w:ascii="仿宋" w:hAnsi="仿宋" w:eastAsia="仿宋" w:cs="宋体"/>
          <w:b/>
          <w:bCs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  <w:t>年单位总支出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7604.74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eastAsia="zh-CN"/>
        </w:rPr>
        <w:t>，人员经费支出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7,259.15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万元，公用经费支出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345.59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  <w:t>。其中：</w:t>
      </w:r>
    </w:p>
    <w:p>
      <w:pPr>
        <w:numPr>
          <w:ilvl w:val="0"/>
          <w:numId w:val="5"/>
        </w:numPr>
        <w:ind w:firstLine="733" w:firstLineChars="221"/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</w:rPr>
        <w:t>基本支出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  <w:lang w:val="en-US" w:eastAsia="zh-CN"/>
        </w:rPr>
        <w:t>7604.74万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  <w:t>其中：工资福利支出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  <w:lang w:val="en-US" w:eastAsia="zh-CN"/>
        </w:rPr>
        <w:t>3669.34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</w:rPr>
        <w:t>万元；商品和服务支出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  <w:lang w:val="en-US" w:eastAsia="zh-CN"/>
        </w:rPr>
        <w:t>345.59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</w:rPr>
        <w:t>万元；对个人和家庭的补助支出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  <w:lang w:val="en-US" w:eastAsia="zh-CN"/>
        </w:rPr>
        <w:t>3589.81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宋体"/>
          <w:color w:val="auto"/>
          <w:spacing w:val="6"/>
          <w:sz w:val="32"/>
          <w:szCs w:val="32"/>
          <w:highlight w:val="none"/>
        </w:rPr>
        <w:t xml:space="preserve"> </w:t>
      </w:r>
    </w:p>
    <w:p>
      <w:pPr>
        <w:numPr>
          <w:ilvl w:val="0"/>
          <w:numId w:val="5"/>
        </w:numPr>
        <w:ind w:firstLine="733" w:firstLineChars="221"/>
        <w:rPr>
          <w:rFonts w:hint="eastAsia" w:ascii="仿宋" w:hAnsi="仿宋" w:eastAsia="仿宋" w:cs="宋体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/>
          <w:spacing w:val="6"/>
          <w:sz w:val="32"/>
          <w:szCs w:val="32"/>
        </w:rPr>
        <w:t>项目支出</w:t>
      </w:r>
      <w:r>
        <w:rPr>
          <w:rFonts w:hint="eastAsia" w:ascii="仿宋" w:hAnsi="仿宋" w:eastAsia="仿宋"/>
          <w:spacing w:val="6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6"/>
          <w:sz w:val="32"/>
          <w:szCs w:val="32"/>
        </w:rPr>
        <w:t>万元。</w:t>
      </w:r>
    </w:p>
    <w:p>
      <w:pPr>
        <w:ind w:firstLine="733" w:firstLineChars="221"/>
        <w:rPr>
          <w:rFonts w:hint="eastAsia" w:ascii="仿宋" w:hAnsi="仿宋" w:eastAsia="仿宋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6"/>
          <w:sz w:val="32"/>
          <w:szCs w:val="32"/>
          <w:lang w:eastAsia="zh-CN"/>
        </w:rPr>
        <w:t>（二）总体绩效目标完成情况</w:t>
      </w:r>
    </w:p>
    <w:p>
      <w:pPr>
        <w:ind w:firstLine="707" w:firstLineChars="2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 xml:space="preserve">单位整体支出合理，财务管理规范，财务会计信息质量真实规范，预决算按规定时间内容及时公开，财务报表及资料报送及时。 </w:t>
      </w:r>
    </w:p>
    <w:p>
      <w:pPr>
        <w:numPr>
          <w:ilvl w:val="0"/>
          <w:numId w:val="6"/>
        </w:num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各项指标完成情况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各项开支严格执行预算，控制成本，开源节流，每一分钱的使用都有它的经济性、效率性、有效性和可持续性，促进学校教育教学各项活动的开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</w:rPr>
        <w:t>，提升质量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对各项资金均进行制度化管理，按规划组织实施，保证了各项资金使用的真实、合法、有效，提高了资金的使用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效率，</w:t>
      </w:r>
      <w:r>
        <w:rPr>
          <w:rFonts w:hint="eastAsia" w:ascii="仿宋" w:hAnsi="仿宋" w:eastAsia="仿宋" w:cs="仿宋"/>
          <w:sz w:val="32"/>
          <w:szCs w:val="32"/>
        </w:rPr>
        <w:t>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各学校</w:t>
      </w:r>
      <w:r>
        <w:rPr>
          <w:rFonts w:hint="eastAsia" w:ascii="仿宋" w:hAnsi="仿宋" w:eastAsia="仿宋" w:cs="仿宋"/>
          <w:sz w:val="32"/>
          <w:szCs w:val="32"/>
        </w:rPr>
        <w:t>的高效运转；确保各项决策部署得到有效落实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产生了良好的社会效应，也取得了发展的可持续性、长效性。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存在的主要问题： </w:t>
      </w:r>
    </w:p>
    <w:p>
      <w:pPr>
        <w:numPr>
          <w:ilvl w:val="0"/>
          <w:numId w:val="7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合理编制预算，严格执行预算。进一步加强单位预算管理意识，严格按照预算编制的相关制度和要求，本着“勤俭节约、保障运转”的原则进行预算的编制；参考上一年的预算执行情况和年度的收支预测、部门重点工作等科学编制预算，提高预算编制的科学性、合理性、严谨性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可控性；提高预算编制的精细化、合理化，细化预算编制工作。 </w:t>
      </w:r>
    </w:p>
    <w:p>
      <w:pPr>
        <w:numPr>
          <w:ilvl w:val="0"/>
          <w:numId w:val="7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严格预算执行，提高资金使用效率。在执行预算管理过程中，合理、合规、合法的使用财政资金，进一步加强预算支出的审核、预算执行情况分析。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改进措施和有关建议：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加强业务人员能力，特别是针对《预算法》、《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政府会计制度</w:t>
      </w:r>
      <w:r>
        <w:rPr>
          <w:rFonts w:hint="eastAsia" w:ascii="仿宋" w:hAnsi="仿宋" w:eastAsia="仿宋" w:cs="仿宋"/>
          <w:sz w:val="32"/>
          <w:szCs w:val="32"/>
        </w:rPr>
        <w:t xml:space="preserve">》等学习培训，规范部门预算收支核算，切实提高部门预算收支管理水平。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其他需要说明的问题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无其他需要说明的问题。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兰州新区中川学区</w:t>
      </w:r>
    </w:p>
    <w:p>
      <w:pPr>
        <w:widowControl w:val="0"/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16FBF"/>
    <w:multiLevelType w:val="singleLevel"/>
    <w:tmpl w:val="82516FBF"/>
    <w:lvl w:ilvl="0" w:tentative="0">
      <w:start w:val="1"/>
      <w:numFmt w:val="decimal"/>
      <w:suff w:val="nothing"/>
      <w:lvlText w:val="%1、"/>
      <w:lvlJc w:val="left"/>
      <w:pPr>
        <w:ind w:left="579" w:leftChars="0" w:firstLine="0" w:firstLineChars="0"/>
      </w:pPr>
    </w:lvl>
  </w:abstractNum>
  <w:abstractNum w:abstractNumId="1">
    <w:nsid w:val="91FFF38D"/>
    <w:multiLevelType w:val="singleLevel"/>
    <w:tmpl w:val="91FFF3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42ED09C"/>
    <w:multiLevelType w:val="singleLevel"/>
    <w:tmpl w:val="C42ED0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9D92EFD"/>
    <w:multiLevelType w:val="singleLevel"/>
    <w:tmpl w:val="E9D92EFD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7B72512"/>
    <w:multiLevelType w:val="singleLevel"/>
    <w:tmpl w:val="F7B72512"/>
    <w:lvl w:ilvl="0" w:tentative="0">
      <w:start w:val="1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abstractNum w:abstractNumId="5">
    <w:nsid w:val="61ED2271"/>
    <w:multiLevelType w:val="singleLevel"/>
    <w:tmpl w:val="61ED2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9D9D6ED"/>
    <w:multiLevelType w:val="singleLevel"/>
    <w:tmpl w:val="79D9D6E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2NhMTI2NDExZTE4NzhhYmQ3NjdkOGVmMWVkYTIifQ=="/>
  </w:docVars>
  <w:rsids>
    <w:rsidRoot w:val="21B867CA"/>
    <w:rsid w:val="01822573"/>
    <w:rsid w:val="02996051"/>
    <w:rsid w:val="02A15DF3"/>
    <w:rsid w:val="045A02E3"/>
    <w:rsid w:val="06287B6D"/>
    <w:rsid w:val="0AE1799C"/>
    <w:rsid w:val="0CD647E3"/>
    <w:rsid w:val="0FA97864"/>
    <w:rsid w:val="123B762F"/>
    <w:rsid w:val="13370919"/>
    <w:rsid w:val="184C1945"/>
    <w:rsid w:val="1B6472E4"/>
    <w:rsid w:val="21B867CA"/>
    <w:rsid w:val="2560226D"/>
    <w:rsid w:val="30B1491E"/>
    <w:rsid w:val="31D9447E"/>
    <w:rsid w:val="32AB4B1F"/>
    <w:rsid w:val="34FA433F"/>
    <w:rsid w:val="355E4066"/>
    <w:rsid w:val="37A957D7"/>
    <w:rsid w:val="3C065573"/>
    <w:rsid w:val="3FD57A97"/>
    <w:rsid w:val="49B55BD3"/>
    <w:rsid w:val="4D7B67E5"/>
    <w:rsid w:val="4DED20EF"/>
    <w:rsid w:val="4E513F2B"/>
    <w:rsid w:val="57EE3633"/>
    <w:rsid w:val="58254B7B"/>
    <w:rsid w:val="5E714CB3"/>
    <w:rsid w:val="60F66235"/>
    <w:rsid w:val="61161505"/>
    <w:rsid w:val="69401815"/>
    <w:rsid w:val="6CC0027B"/>
    <w:rsid w:val="6EA15128"/>
    <w:rsid w:val="71B634BC"/>
    <w:rsid w:val="7790020A"/>
    <w:rsid w:val="79276766"/>
    <w:rsid w:val="7D3E5C13"/>
    <w:rsid w:val="7E2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2021-03-05T01:22:00Z</dcterms:created>
  <dc:creator>英子</dc:creator>
  <cp:lastModifiedBy>ZSX</cp:lastModifiedBy>
  <cp:lastPrinted>2021-03-11T03:56:00Z</cp:lastPrinted>
  <dcterms:modified xsi:type="dcterms:W3CDTF">2023-09-27T11:34:02Z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1F3525B999304CBCBA8B57C64CFA4B90_12</vt:lpwstr>
  </property>
</Properties>
</file>