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9</w:t>
      </w:r>
    </w:p>
    <w:p>
      <w:pPr>
        <w:widowControl/>
        <w:jc w:val="center"/>
        <w:rPr>
          <w:rFonts w:hint="eastAsia" w:ascii="方正小标宋简体" w:hAnsi="方正小标宋简体" w:eastAsia="方正小标宋简体" w:cs="方正小标宋简体"/>
          <w:kern w:val="0"/>
          <w:sz w:val="40"/>
          <w:szCs w:val="40"/>
        </w:rPr>
      </w:pPr>
    </w:p>
    <w:p>
      <w:pPr>
        <w:widowControl/>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lang w:eastAsia="zh-CN"/>
        </w:rPr>
        <w:t>兰州新区</w:t>
      </w:r>
      <w:r>
        <w:rPr>
          <w:rFonts w:hint="eastAsia" w:ascii="方正小标宋简体" w:hAnsi="方正小标宋简体" w:eastAsia="方正小标宋简体" w:cs="方正小标宋简体"/>
          <w:kern w:val="0"/>
          <w:sz w:val="40"/>
          <w:szCs w:val="40"/>
        </w:rPr>
        <w:t>国家教育考试期间考点考场偶发事件</w:t>
      </w:r>
    </w:p>
    <w:p>
      <w:pPr>
        <w:widowControl/>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处置程序</w:t>
      </w:r>
    </w:p>
    <w:tbl>
      <w:tblPr>
        <w:tblStyle w:val="5"/>
        <w:tblW w:w="8946" w:type="dxa"/>
        <w:tblInd w:w="93" w:type="dxa"/>
        <w:tblLayout w:type="autofit"/>
        <w:tblCellMar>
          <w:top w:w="0" w:type="dxa"/>
          <w:left w:w="108" w:type="dxa"/>
          <w:bottom w:w="0" w:type="dxa"/>
          <w:right w:w="108" w:type="dxa"/>
        </w:tblCellMar>
      </w:tblPr>
      <w:tblGrid>
        <w:gridCol w:w="580"/>
        <w:gridCol w:w="1620"/>
        <w:gridCol w:w="3344"/>
        <w:gridCol w:w="3402"/>
      </w:tblGrid>
      <w:tr>
        <w:tblPrEx>
          <w:tblCellMar>
            <w:top w:w="0" w:type="dxa"/>
            <w:left w:w="108" w:type="dxa"/>
            <w:bottom w:w="0" w:type="dxa"/>
            <w:right w:w="108" w:type="dxa"/>
          </w:tblCellMar>
        </w:tblPrEx>
        <w:trPr>
          <w:trHeight w:val="900" w:hRule="atLeast"/>
        </w:trPr>
        <w:tc>
          <w:tcPr>
            <w:tcW w:w="8946" w:type="dxa"/>
            <w:gridSpan w:val="4"/>
            <w:tcBorders>
              <w:top w:val="nil"/>
              <w:left w:val="nil"/>
              <w:bottom w:val="single" w:color="auto" w:sz="4" w:space="0"/>
              <w:right w:val="nil"/>
            </w:tcBorders>
            <w:noWrap/>
            <w:vAlign w:val="center"/>
          </w:tcPr>
          <w:p>
            <w:pPr>
              <w:widowControl/>
              <w:jc w:val="left"/>
              <w:rPr>
                <w:rFonts w:hint="eastAsia" w:ascii="仿宋_GB2312" w:hAnsi="黑体" w:eastAsia="仿宋_GB2312" w:cs="宋体"/>
                <w:kern w:val="0"/>
                <w:sz w:val="32"/>
                <w:szCs w:val="32"/>
              </w:rPr>
            </w:pPr>
          </w:p>
          <w:p>
            <w:pPr>
              <w:widowControl/>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附件</w:t>
            </w:r>
            <w:r>
              <w:rPr>
                <w:rFonts w:hint="eastAsia" w:ascii="楷体_GB2312" w:hAnsi="楷体_GB2312" w:eastAsia="楷体_GB2312" w:cs="楷体_GB2312"/>
                <w:kern w:val="0"/>
                <w:sz w:val="32"/>
                <w:szCs w:val="32"/>
                <w:lang w:val="en-US" w:eastAsia="zh-CN"/>
              </w:rPr>
              <w:t xml:space="preserve">9.1 </w:t>
            </w:r>
            <w:r>
              <w:rPr>
                <w:rFonts w:hint="eastAsia" w:ascii="楷体_GB2312" w:hAnsi="楷体_GB2312" w:eastAsia="楷体_GB2312" w:cs="楷体_GB2312"/>
                <w:kern w:val="0"/>
                <w:sz w:val="32"/>
                <w:szCs w:val="32"/>
              </w:rPr>
              <w:t>考点考场偶发事件处置程序（考生身份查验）</w:t>
            </w:r>
          </w:p>
          <w:p>
            <w:pPr>
              <w:widowControl/>
              <w:jc w:val="left"/>
              <w:rPr>
                <w:rFonts w:ascii="宋体" w:hAnsi="宋体" w:cs="宋体"/>
                <w:kern w:val="0"/>
                <w:sz w:val="28"/>
                <w:szCs w:val="28"/>
              </w:rPr>
            </w:pPr>
          </w:p>
        </w:tc>
      </w:tr>
      <w:tr>
        <w:tblPrEx>
          <w:tblCellMar>
            <w:top w:w="0" w:type="dxa"/>
            <w:left w:w="108" w:type="dxa"/>
            <w:bottom w:w="0" w:type="dxa"/>
            <w:right w:w="108" w:type="dxa"/>
          </w:tblCellMar>
        </w:tblPrEx>
        <w:trPr>
          <w:trHeight w:val="537" w:hRule="atLeast"/>
        </w:trPr>
        <w:tc>
          <w:tcPr>
            <w:tcW w:w="22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偶发事件</w:t>
            </w:r>
          </w:p>
        </w:tc>
        <w:tc>
          <w:tcPr>
            <w:tcW w:w="674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处置办法</w:t>
            </w:r>
          </w:p>
        </w:tc>
      </w:tr>
      <w:tr>
        <w:tblPrEx>
          <w:tblCellMar>
            <w:top w:w="0" w:type="dxa"/>
            <w:left w:w="108" w:type="dxa"/>
            <w:bottom w:w="0" w:type="dxa"/>
            <w:right w:w="108" w:type="dxa"/>
          </w:tblCellMar>
        </w:tblPrEx>
        <w:trPr>
          <w:trHeight w:val="559" w:hRule="atLeast"/>
        </w:trPr>
        <w:tc>
          <w:tcPr>
            <w:tcW w:w="22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Cs/>
                <w:color w:val="000000"/>
                <w:kern w:val="0"/>
                <w:sz w:val="24"/>
              </w:rPr>
            </w:pPr>
          </w:p>
        </w:tc>
        <w:tc>
          <w:tcPr>
            <w:tcW w:w="3344"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监考人员</w:t>
            </w:r>
          </w:p>
        </w:tc>
        <w:tc>
          <w:tcPr>
            <w:tcW w:w="3402"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考点主任</w:t>
            </w:r>
          </w:p>
        </w:tc>
      </w:tr>
      <w:tr>
        <w:tblPrEx>
          <w:tblCellMar>
            <w:top w:w="0" w:type="dxa"/>
            <w:left w:w="108" w:type="dxa"/>
            <w:bottom w:w="0" w:type="dxa"/>
            <w:right w:w="108" w:type="dxa"/>
          </w:tblCellMar>
        </w:tblPrEx>
        <w:trPr>
          <w:trHeight w:val="90"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考</w:t>
            </w:r>
          </w:p>
          <w:p>
            <w:pPr>
              <w:widowControl/>
              <w:jc w:val="center"/>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生</w:t>
            </w:r>
          </w:p>
          <w:p>
            <w:pPr>
              <w:widowControl/>
              <w:jc w:val="center"/>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身</w:t>
            </w:r>
          </w:p>
          <w:p>
            <w:pPr>
              <w:widowControl/>
              <w:jc w:val="center"/>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份</w:t>
            </w:r>
          </w:p>
          <w:p>
            <w:pPr>
              <w:widowControl/>
              <w:jc w:val="center"/>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查</w:t>
            </w:r>
          </w:p>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验</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黑体" w:hAnsi="黑体" w:eastAsia="黑体" w:cs="宋体"/>
                <w:kern w:val="0"/>
                <w:sz w:val="20"/>
                <w:szCs w:val="20"/>
              </w:rPr>
            </w:pPr>
            <w:r>
              <w:rPr>
                <w:rFonts w:hint="eastAsia" w:ascii="黑体" w:hAnsi="黑体" w:eastAsia="黑体" w:cs="宋体"/>
                <w:kern w:val="0"/>
                <w:sz w:val="20"/>
                <w:szCs w:val="20"/>
              </w:rPr>
              <w:t>1.考生准考证重号</w:t>
            </w:r>
          </w:p>
        </w:tc>
        <w:tc>
          <w:tcPr>
            <w:tcW w:w="334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稳定考生的情绪，立即报告考点主任。</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派人立即查明重号考生的确切准考证号，先安排考试，再逐级上报上级考试机构。</w:t>
            </w:r>
          </w:p>
        </w:tc>
      </w:tr>
      <w:tr>
        <w:tblPrEx>
          <w:tblCellMar>
            <w:top w:w="0" w:type="dxa"/>
            <w:left w:w="108" w:type="dxa"/>
            <w:bottom w:w="0" w:type="dxa"/>
            <w:right w:w="108" w:type="dxa"/>
          </w:tblCellMar>
        </w:tblPrEx>
        <w:trPr>
          <w:trHeight w:val="1891"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b/>
                <w:bCs/>
                <w:color w:val="000000"/>
                <w:kern w:val="0"/>
                <w:sz w:val="24"/>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黑体" w:hAnsi="黑体" w:eastAsia="黑体" w:cs="宋体"/>
                <w:kern w:val="0"/>
                <w:sz w:val="20"/>
                <w:szCs w:val="20"/>
              </w:rPr>
            </w:pPr>
            <w:r>
              <w:rPr>
                <w:rFonts w:hint="eastAsia" w:ascii="黑体" w:hAnsi="黑体" w:eastAsia="黑体" w:cs="宋体"/>
                <w:kern w:val="0"/>
                <w:sz w:val="20"/>
                <w:szCs w:val="20"/>
              </w:rPr>
              <w:t>2.考生未带“准考证”或“身份证”等有效身份证件</w:t>
            </w:r>
          </w:p>
        </w:tc>
        <w:tc>
          <w:tcPr>
            <w:tcW w:w="334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原则上禁止考生入场参加考试；若确系忘带，</w:t>
            </w:r>
            <w:r>
              <w:rPr>
                <w:rFonts w:hint="eastAsia" w:ascii="仿宋_GB2312" w:hAnsi="宋体" w:eastAsia="仿宋_GB2312" w:cs="宋体"/>
                <w:color w:val="000000"/>
                <w:kern w:val="0"/>
                <w:sz w:val="20"/>
                <w:szCs w:val="20"/>
              </w:rPr>
              <w:t>报告考点主任，验证考生相貌若与考场座次表上的照片相符，可先安排考试。</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掌握了解处理情况，</w:t>
            </w:r>
            <w:r>
              <w:rPr>
                <w:rFonts w:hint="eastAsia" w:ascii="仿宋_GB2312" w:hAnsi="宋体" w:eastAsia="仿宋_GB2312" w:cs="宋体"/>
                <w:color w:val="000000"/>
                <w:kern w:val="0"/>
                <w:sz w:val="20"/>
                <w:szCs w:val="20"/>
              </w:rPr>
              <w:t>若确系考生忘带，要求学生家长或学校带队老师通知家长在该科目考试结束前将证件或证明材料送至考场；如考生在同一考场参加多次考试，则要求其在下一场考试时提供证件或证明材料。</w:t>
            </w:r>
          </w:p>
        </w:tc>
      </w:tr>
      <w:tr>
        <w:tblPrEx>
          <w:tblCellMar>
            <w:top w:w="0" w:type="dxa"/>
            <w:left w:w="108" w:type="dxa"/>
            <w:bottom w:w="0" w:type="dxa"/>
            <w:right w:w="108" w:type="dxa"/>
          </w:tblCellMar>
        </w:tblPrEx>
        <w:trPr>
          <w:trHeight w:val="2532"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b/>
                <w:bCs/>
                <w:color w:val="000000"/>
                <w:kern w:val="0"/>
                <w:sz w:val="24"/>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黑体" w:hAnsi="黑体" w:eastAsia="黑体" w:cs="宋体"/>
                <w:kern w:val="0"/>
                <w:sz w:val="20"/>
                <w:szCs w:val="20"/>
              </w:rPr>
            </w:pPr>
            <w:r>
              <w:rPr>
                <w:rFonts w:hint="eastAsia" w:ascii="黑体" w:hAnsi="黑体" w:eastAsia="黑体" w:cs="宋体"/>
                <w:kern w:val="0"/>
                <w:sz w:val="20"/>
                <w:szCs w:val="20"/>
              </w:rPr>
              <w:t>3.发现考生本人相貌与身份证、“准考证”、考场考生名册上的照片不符</w:t>
            </w:r>
          </w:p>
        </w:tc>
        <w:tc>
          <w:tcPr>
            <w:tcW w:w="334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考生未进入考场前，禁止其入场；如是开考后检查发现的，先答题，结束后请场外流动监考员（巡视员）将考生带至考点办公室；如果考生不服从管理或扰乱考场秩序，立即报告考点主任，请有关人员将其带出考场并按有关规定记录。</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核实情况，如系替考等，要求考生写明情况并签字；如果考生不写情况、签字，需告知考生本人违纪情况，填写《违规处理告知书》和考场违纪记录单并由考点主任签字上报。</w:t>
            </w:r>
          </w:p>
        </w:tc>
      </w:tr>
      <w:tr>
        <w:tblPrEx>
          <w:tblCellMar>
            <w:top w:w="0" w:type="dxa"/>
            <w:left w:w="108" w:type="dxa"/>
            <w:bottom w:w="0" w:type="dxa"/>
            <w:right w:w="108" w:type="dxa"/>
          </w:tblCellMar>
        </w:tblPrEx>
        <w:trPr>
          <w:trHeight w:val="1409"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b/>
                <w:bCs/>
                <w:color w:val="000000"/>
                <w:kern w:val="0"/>
                <w:sz w:val="24"/>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黑体" w:hAnsi="黑体" w:eastAsia="黑体" w:cs="宋体"/>
                <w:kern w:val="0"/>
                <w:sz w:val="20"/>
                <w:szCs w:val="20"/>
              </w:rPr>
            </w:pPr>
            <w:r>
              <w:rPr>
                <w:rFonts w:hint="eastAsia" w:ascii="黑体" w:hAnsi="黑体" w:eastAsia="黑体" w:cs="宋体"/>
                <w:kern w:val="0"/>
                <w:sz w:val="20"/>
                <w:szCs w:val="20"/>
              </w:rPr>
              <w:t>4.临近考试，还有多名考生未进行违禁物品检查</w:t>
            </w:r>
          </w:p>
        </w:tc>
        <w:tc>
          <w:tcPr>
            <w:tcW w:w="334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要求考生自查并交出规定以外的物品后入座，考试中要对其重点监控。</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掌握情况，做好相关工作。</w:t>
            </w:r>
          </w:p>
        </w:tc>
      </w:tr>
      <w:tr>
        <w:tblPrEx>
          <w:tblCellMar>
            <w:top w:w="0" w:type="dxa"/>
            <w:left w:w="108" w:type="dxa"/>
            <w:bottom w:w="0" w:type="dxa"/>
            <w:right w:w="108" w:type="dxa"/>
          </w:tblCellMar>
        </w:tblPrEx>
        <w:trPr>
          <w:trHeight w:val="1969"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b/>
                <w:bCs/>
                <w:color w:val="000000"/>
                <w:kern w:val="0"/>
                <w:sz w:val="24"/>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黑体" w:hAnsi="黑体" w:eastAsia="黑体" w:cs="宋体"/>
                <w:kern w:val="0"/>
                <w:sz w:val="20"/>
                <w:szCs w:val="20"/>
              </w:rPr>
            </w:pPr>
            <w:r>
              <w:rPr>
                <w:rFonts w:hint="eastAsia" w:ascii="黑体" w:hAnsi="黑体" w:eastAsia="黑体" w:cs="宋体"/>
                <w:kern w:val="0"/>
                <w:sz w:val="20"/>
                <w:szCs w:val="20"/>
              </w:rPr>
              <w:t>5.考试开始前考生坐错位置</w:t>
            </w:r>
          </w:p>
        </w:tc>
        <w:tc>
          <w:tcPr>
            <w:tcW w:w="334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如果是本场考生，立即让其坐到相应座位；如果是其他考场考生，应稳定考生的情绪，立即通过流动监考员报告考点主任。</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责成有关考试工作人员立即查明考生确切位置，安排考生到应到考场考试，所误时间不补。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ZTliYTVhNzhjOTQ5MDIyN2JiZjY5MDUyNjU5OTUifQ=="/>
  </w:docVars>
  <w:rsids>
    <w:rsidRoot w:val="5BA703AC"/>
    <w:rsid w:val="01EA0118"/>
    <w:rsid w:val="21CF315A"/>
    <w:rsid w:val="5BA703AC"/>
    <w:rsid w:val="65C77271"/>
    <w:rsid w:val="7CFE5817"/>
    <w:rsid w:val="7F16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3"/>
    <w:next w:val="4"/>
    <w:qFormat/>
    <w:uiPriority w:val="0"/>
    <w:pPr>
      <w:widowControl w:val="0"/>
      <w:tabs>
        <w:tab w:val="center" w:pos="4153"/>
        <w:tab w:val="right" w:pos="8306"/>
      </w:tabs>
      <w:adjustRightInd/>
      <w:snapToGrid/>
      <w:spacing w:after="0"/>
      <w:jc w:val="both"/>
    </w:pPr>
    <w:rPr>
      <w:rFonts w:ascii="Calibri" w:hAnsi="Calibri" w:eastAsia="仿宋_GB2312" w:cs="Times New Roman"/>
      <w:kern w:val="2"/>
      <w:sz w:val="32"/>
      <w:szCs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index 9"/>
    <w:basedOn w:val="1"/>
    <w:next w:val="1"/>
    <w:qFormat/>
    <w:uiPriority w:val="0"/>
    <w:pPr>
      <w:ind w:left="336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854</Words>
  <Characters>868</Characters>
  <Lines>0</Lines>
  <Paragraphs>0</Paragraphs>
  <TotalTime>1</TotalTime>
  <ScaleCrop>false</ScaleCrop>
  <LinksUpToDate>false</LinksUpToDate>
  <CharactersWithSpaces>869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2022-12-27T10:30:00Z</dcterms:created>
  <dc:creator>香蕉梨的夏天</dc:creator>
  <cp:lastModifiedBy>香蕉梨的夏天</cp:lastModifiedBy>
  <dcterms:modified xsi:type="dcterms:W3CDTF">2022-12-27T10:33:29Z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F960AD8DC67E450D911B2305A4734904</vt:lpwstr>
  </property>
</Properties>
</file>