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FB9" w:rsidRDefault="00596F24">
      <w:pPr>
        <w:pStyle w:val="a3"/>
        <w:widowControl/>
        <w:spacing w:line="560" w:lineRule="exact"/>
        <w:ind w:leftChars="418" w:left="3087" w:hangingChars="500" w:hanging="2209"/>
        <w:jc w:val="both"/>
        <w:rPr>
          <w:rFonts w:asciiTheme="minorEastAsia" w:eastAsiaTheme="minorEastAsia" w:hAnsiTheme="minorEastAsia" w:cstheme="minorEastAsia"/>
          <w:b/>
          <w:bCs/>
          <w:sz w:val="44"/>
          <w:szCs w:val="44"/>
          <w:lang w:bidi="ar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  <w:lang w:bidi="ar"/>
        </w:rPr>
        <w:t>202</w:t>
      </w:r>
      <w:r w:rsidR="000C38CB">
        <w:rPr>
          <w:rFonts w:asciiTheme="minorEastAsia" w:eastAsiaTheme="minorEastAsia" w:hAnsiTheme="minorEastAsia" w:cstheme="minorEastAsia" w:hint="eastAsia"/>
          <w:b/>
          <w:bCs/>
          <w:sz w:val="44"/>
          <w:szCs w:val="44"/>
          <w:lang w:bidi="ar"/>
        </w:rPr>
        <w:t>1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  <w:lang w:bidi="ar"/>
        </w:rPr>
        <w:t>年度兰州新区</w:t>
      </w:r>
      <w:r w:rsidR="0079105E">
        <w:rPr>
          <w:rFonts w:asciiTheme="minorEastAsia" w:eastAsiaTheme="minorEastAsia" w:hAnsiTheme="minorEastAsia" w:cstheme="minorEastAsia" w:hint="eastAsia"/>
          <w:b/>
          <w:bCs/>
          <w:sz w:val="44"/>
          <w:szCs w:val="44"/>
          <w:lang w:bidi="ar"/>
        </w:rPr>
        <w:t>第二初级中学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  <w:lang w:bidi="ar"/>
        </w:rPr>
        <w:t>整体支出绩效自评报告</w:t>
      </w:r>
    </w:p>
    <w:p w:rsidR="00FE4FB9" w:rsidRDefault="00596F24">
      <w:pPr>
        <w:pStyle w:val="a3"/>
        <w:widowControl/>
        <w:numPr>
          <w:ilvl w:val="0"/>
          <w:numId w:val="1"/>
        </w:numPr>
        <w:tabs>
          <w:tab w:val="left" w:pos="695"/>
        </w:tabs>
        <w:spacing w:line="560" w:lineRule="exact"/>
        <w:ind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基本情况</w:t>
      </w:r>
    </w:p>
    <w:p w:rsidR="00FE4FB9" w:rsidRDefault="00596F24">
      <w:pPr>
        <w:pStyle w:val="a3"/>
        <w:widowControl/>
        <w:numPr>
          <w:ilvl w:val="0"/>
          <w:numId w:val="2"/>
        </w:numPr>
        <w:spacing w:line="560" w:lineRule="exact"/>
        <w:ind w:firstLine="640"/>
        <w:jc w:val="both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部门主要职能。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实施</w:t>
      </w:r>
      <w:r w:rsidR="005A74A5">
        <w:rPr>
          <w:rFonts w:asciiTheme="minorEastAsia" w:eastAsiaTheme="minorEastAsia" w:hAnsiTheme="minorEastAsia" w:cstheme="minorEastAsia" w:hint="eastAsia"/>
          <w:sz w:val="32"/>
          <w:szCs w:val="32"/>
        </w:rPr>
        <w:t>初中义务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教育，促进</w:t>
      </w:r>
      <w:r w:rsidR="005A74A5">
        <w:rPr>
          <w:rFonts w:asciiTheme="minorEastAsia" w:eastAsiaTheme="minorEastAsia" w:hAnsiTheme="minorEastAsia" w:cstheme="minorEastAsia" w:hint="eastAsia"/>
          <w:sz w:val="32"/>
          <w:szCs w:val="32"/>
        </w:rPr>
        <w:t>基础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教育发展。</w:t>
      </w:r>
      <w:r w:rsidR="005A74A5">
        <w:rPr>
          <w:rFonts w:asciiTheme="minorEastAsia" w:eastAsiaTheme="minorEastAsia" w:hAnsiTheme="minorEastAsia" w:cstheme="minorEastAsia" w:hint="eastAsia"/>
          <w:sz w:val="32"/>
          <w:szCs w:val="32"/>
        </w:rPr>
        <w:t>初中学历教育；初中教育管理。</w:t>
      </w:r>
    </w:p>
    <w:p w:rsidR="005A74A5" w:rsidRPr="005A74A5" w:rsidRDefault="005A74A5" w:rsidP="005A74A5">
      <w:pPr>
        <w:pStyle w:val="a3"/>
        <w:widowControl/>
        <w:spacing w:line="560" w:lineRule="exact"/>
        <w:ind w:firstLineChars="200" w:firstLine="640"/>
        <w:rPr>
          <w:rFonts w:asciiTheme="minorEastAsia" w:eastAsiaTheme="minorEastAsia" w:hAnsiTheme="minorEastAsia" w:cstheme="minorEastAsia"/>
          <w:sz w:val="32"/>
          <w:szCs w:val="32"/>
        </w:rPr>
      </w:pPr>
      <w:r w:rsidRPr="005A74A5">
        <w:rPr>
          <w:rFonts w:asciiTheme="minorEastAsia" w:eastAsiaTheme="minorEastAsia" w:hAnsiTheme="minorEastAsia" w:cstheme="minorEastAsia" w:hint="eastAsia"/>
          <w:sz w:val="32"/>
          <w:szCs w:val="32"/>
        </w:rPr>
        <w:t>1、全面贯彻执行党和国家的各项教育方针、政策。</w:t>
      </w:r>
    </w:p>
    <w:p w:rsidR="005A74A5" w:rsidRPr="005A74A5" w:rsidRDefault="005A74A5" w:rsidP="005A74A5">
      <w:pPr>
        <w:pStyle w:val="a3"/>
        <w:widowControl/>
        <w:spacing w:line="560" w:lineRule="exact"/>
        <w:ind w:firstLineChars="200" w:firstLine="640"/>
        <w:rPr>
          <w:rFonts w:asciiTheme="minorEastAsia" w:eastAsiaTheme="minorEastAsia" w:hAnsiTheme="minorEastAsia" w:cstheme="minorEastAsia"/>
          <w:sz w:val="32"/>
          <w:szCs w:val="32"/>
        </w:rPr>
      </w:pPr>
      <w:r w:rsidRPr="005A74A5">
        <w:rPr>
          <w:rFonts w:asciiTheme="minorEastAsia" w:eastAsiaTheme="minorEastAsia" w:hAnsiTheme="minorEastAsia" w:cstheme="minorEastAsia" w:hint="eastAsia"/>
          <w:sz w:val="32"/>
          <w:szCs w:val="32"/>
        </w:rPr>
        <w:t>2、加强学校的班子队伍建设，强化师资队伍建设，不断提高师资队伍建设。</w:t>
      </w:r>
    </w:p>
    <w:p w:rsidR="005A74A5" w:rsidRPr="005A74A5" w:rsidRDefault="005A74A5" w:rsidP="005A74A5">
      <w:pPr>
        <w:pStyle w:val="a3"/>
        <w:widowControl/>
        <w:spacing w:line="560" w:lineRule="exact"/>
        <w:ind w:firstLineChars="200" w:firstLine="640"/>
        <w:rPr>
          <w:rFonts w:asciiTheme="minorEastAsia" w:eastAsiaTheme="minorEastAsia" w:hAnsiTheme="minorEastAsia" w:cstheme="minorEastAsia"/>
          <w:sz w:val="32"/>
          <w:szCs w:val="32"/>
        </w:rPr>
      </w:pPr>
      <w:r w:rsidRPr="005A74A5">
        <w:rPr>
          <w:rFonts w:asciiTheme="minorEastAsia" w:eastAsiaTheme="minorEastAsia" w:hAnsiTheme="minorEastAsia" w:cstheme="minorEastAsia" w:hint="eastAsia"/>
          <w:sz w:val="32"/>
          <w:szCs w:val="32"/>
        </w:rPr>
        <w:t>3、以教学为中心，努力提高教学质量，制定教学计划和教学大纲，不断研究和改进教   学方法，不断提高教学水平。</w:t>
      </w:r>
    </w:p>
    <w:p w:rsidR="005A74A5" w:rsidRDefault="005A74A5" w:rsidP="005A74A5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 w:rsidRPr="005A74A5">
        <w:rPr>
          <w:rFonts w:asciiTheme="minorEastAsia" w:eastAsiaTheme="minorEastAsia" w:hAnsiTheme="minorEastAsia" w:cstheme="minorEastAsia" w:hint="eastAsia"/>
          <w:sz w:val="32"/>
          <w:szCs w:val="32"/>
        </w:rPr>
        <w:t>4、做好后勤管理和安全四方工作，不断改善学校的办学条件，保证师生在校期间不发生安全事故，全面完成义务教育初中阶段的教育教学工作。</w:t>
      </w:r>
    </w:p>
    <w:p w:rsidR="00FE4FB9" w:rsidRDefault="00596F24">
      <w:pPr>
        <w:pStyle w:val="a3"/>
        <w:widowControl/>
        <w:numPr>
          <w:ilvl w:val="0"/>
          <w:numId w:val="3"/>
        </w:numPr>
        <w:spacing w:line="560" w:lineRule="exact"/>
        <w:ind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内设机构及所属单位概况。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学校内设教务处、总务处、政教处、宿舍管理部、办公室5个科室。现有</w:t>
      </w:r>
      <w:r>
        <w:rPr>
          <w:rFonts w:asciiTheme="minorEastAsia" w:eastAsiaTheme="minorEastAsia" w:hAnsiTheme="minorEastAsia" w:cstheme="minorEastAsia"/>
          <w:sz w:val="32"/>
          <w:szCs w:val="32"/>
        </w:rPr>
        <w:t>2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个教学班，在校学生</w:t>
      </w:r>
      <w:r>
        <w:rPr>
          <w:rFonts w:asciiTheme="minorEastAsia" w:eastAsiaTheme="minorEastAsia" w:hAnsiTheme="minorEastAsia" w:cstheme="minorEastAsia"/>
          <w:sz w:val="32"/>
          <w:szCs w:val="32"/>
        </w:rPr>
        <w:t>1070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人，教职工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89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人。</w:t>
      </w:r>
    </w:p>
    <w:p w:rsidR="00FE4FB9" w:rsidRDefault="00596F24">
      <w:pPr>
        <w:pStyle w:val="a3"/>
        <w:widowControl/>
        <w:tabs>
          <w:tab w:val="left" w:pos="695"/>
        </w:tabs>
        <w:spacing w:line="560" w:lineRule="exact"/>
        <w:ind w:left="21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二、绩效自评工作组织开展情况</w:t>
      </w:r>
    </w:p>
    <w:p w:rsidR="00FE4FB9" w:rsidRDefault="00596F24">
      <w:pPr>
        <w:pStyle w:val="a3"/>
        <w:widowControl/>
        <w:spacing w:line="560" w:lineRule="exact"/>
        <w:ind w:firstLineChars="200" w:firstLine="64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为建立客观、公正的考核、评价机制，激发我校教职工工资热情，注重提升教育质量与工作效率，学校成立专门的绩效自评工作小组，研究和决定考核中存在的问题，组织协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lastRenderedPageBreak/>
        <w:t>调绩效考核工作，对学校全体教职工的工作业绩、绩效考核结果、等次及奖惩方案进行审核，并报上级主管部门审定。</w:t>
      </w:r>
    </w:p>
    <w:p w:rsidR="00FE4FB9" w:rsidRDefault="00596F24">
      <w:pPr>
        <w:pStyle w:val="a3"/>
        <w:widowControl/>
        <w:tabs>
          <w:tab w:val="left" w:pos="695"/>
        </w:tabs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三、部门整体支出绩效自评情况分析</w:t>
      </w:r>
    </w:p>
    <w:p w:rsidR="00FE4FB9" w:rsidRDefault="00596F24">
      <w:pPr>
        <w:pStyle w:val="a3"/>
        <w:widowControl/>
        <w:spacing w:line="560" w:lineRule="exact"/>
        <w:ind w:left="63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（一）部门决算情况。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我校20</w:t>
      </w:r>
      <w:r>
        <w:rPr>
          <w:rFonts w:asciiTheme="minorEastAsia" w:eastAsiaTheme="minorEastAsia" w:hAnsiTheme="minorEastAsia" w:cstheme="minorEastAsia"/>
          <w:sz w:val="32"/>
          <w:szCs w:val="32"/>
        </w:rPr>
        <w:t>2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年决算总支出为</w:t>
      </w:r>
      <w:r>
        <w:rPr>
          <w:rFonts w:asciiTheme="minorEastAsia" w:eastAsiaTheme="minorEastAsia" w:hAnsiTheme="minorEastAsia" w:cstheme="minorEastAsia"/>
          <w:sz w:val="32"/>
          <w:szCs w:val="32"/>
        </w:rPr>
        <w:t>1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999.45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万元，其中</w:t>
      </w:r>
      <w:r>
        <w:rPr>
          <w:rFonts w:asciiTheme="minorEastAsia" w:eastAsiaTheme="minorEastAsia" w:hAnsiTheme="minorEastAsia" w:cstheme="minorEastAsia"/>
          <w:sz w:val="32"/>
          <w:szCs w:val="32"/>
        </w:rPr>
        <w:t>人员经费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支出</w:t>
      </w:r>
      <w:r>
        <w:rPr>
          <w:rFonts w:asciiTheme="minorEastAsia" w:eastAsiaTheme="minorEastAsia" w:hAnsiTheme="minorEastAsia" w:cstheme="minorEastAsia"/>
          <w:sz w:val="32"/>
          <w:szCs w:val="32"/>
        </w:rPr>
        <w:t>1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933.27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万元，占总支</w:t>
      </w:r>
      <w:proofErr w:type="gramStart"/>
      <w:r>
        <w:rPr>
          <w:rFonts w:asciiTheme="minorEastAsia" w:eastAsiaTheme="minorEastAsia" w:hAnsiTheme="minorEastAsia" w:cstheme="minorEastAsia" w:hint="eastAsia"/>
          <w:sz w:val="32"/>
          <w:szCs w:val="32"/>
        </w:rPr>
        <w:t>出比例</w:t>
      </w:r>
      <w:proofErr w:type="gramEnd"/>
      <w:r>
        <w:rPr>
          <w:rFonts w:asciiTheme="minorEastAsia" w:eastAsiaTheme="minorEastAsia" w:hAnsiTheme="minorEastAsia" w:cstheme="minorEastAsia"/>
          <w:sz w:val="32"/>
          <w:szCs w:val="32"/>
        </w:rPr>
        <w:t>9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6.69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%；</w:t>
      </w:r>
      <w:r>
        <w:rPr>
          <w:rFonts w:asciiTheme="minorEastAsia" w:eastAsiaTheme="minorEastAsia" w:hAnsiTheme="minorEastAsia" w:cstheme="minorEastAsia"/>
          <w:sz w:val="32"/>
          <w:szCs w:val="32"/>
        </w:rPr>
        <w:t>公用经费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支出</w:t>
      </w:r>
      <w:r>
        <w:rPr>
          <w:rFonts w:asciiTheme="minorEastAsia" w:eastAsiaTheme="minorEastAsia" w:hAnsiTheme="minorEastAsia" w:cstheme="minorEastAsia"/>
          <w:sz w:val="32"/>
          <w:szCs w:val="32"/>
        </w:rPr>
        <w:t>6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6.18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万元。占总支</w:t>
      </w:r>
      <w:proofErr w:type="gramStart"/>
      <w:r>
        <w:rPr>
          <w:rFonts w:asciiTheme="minorEastAsia" w:eastAsiaTheme="minorEastAsia" w:hAnsiTheme="minorEastAsia" w:cstheme="minorEastAsia" w:hint="eastAsia"/>
          <w:sz w:val="32"/>
          <w:szCs w:val="32"/>
        </w:rPr>
        <w:t>出比例</w:t>
      </w:r>
      <w:proofErr w:type="gramEnd"/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3.31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%.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人员经费支出</w:t>
      </w:r>
      <w:r>
        <w:rPr>
          <w:rFonts w:asciiTheme="minorEastAsia" w:eastAsiaTheme="minorEastAsia" w:hAnsiTheme="minorEastAsia" w:cstheme="minorEastAsia"/>
          <w:sz w:val="32"/>
          <w:szCs w:val="32"/>
        </w:rPr>
        <w:t>1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933.27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万元，其中：工资福利支出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894.88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万元，对个人和家庭的补助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1038.39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</w:t>
      </w:r>
      <w:r>
        <w:rPr>
          <w:rFonts w:asciiTheme="minorEastAsia" w:eastAsiaTheme="minorEastAsia" w:hAnsiTheme="minorEastAsia" w:cstheme="minorEastAsia"/>
          <w:sz w:val="32"/>
          <w:szCs w:val="32"/>
        </w:rPr>
        <w:t>。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公用经费支出</w:t>
      </w:r>
      <w:r>
        <w:rPr>
          <w:rFonts w:asciiTheme="minorEastAsia" w:eastAsiaTheme="minorEastAsia" w:hAnsiTheme="minorEastAsia" w:cstheme="minorEastAsia"/>
          <w:sz w:val="32"/>
          <w:szCs w:val="32"/>
        </w:rPr>
        <w:t>6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6.18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</w:t>
      </w:r>
      <w:r>
        <w:rPr>
          <w:rFonts w:asciiTheme="minorEastAsia" w:eastAsiaTheme="minorEastAsia" w:hAnsiTheme="minorEastAsia" w:cstheme="minorEastAsia"/>
          <w:sz w:val="32"/>
          <w:szCs w:val="32"/>
        </w:rPr>
        <w:t>，其中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：商品和服务支出</w:t>
      </w:r>
      <w:r>
        <w:rPr>
          <w:rFonts w:asciiTheme="minorEastAsia" w:eastAsiaTheme="minorEastAsia" w:hAnsiTheme="minorEastAsia" w:cstheme="minorEastAsia"/>
          <w:sz w:val="32"/>
          <w:szCs w:val="32"/>
        </w:rPr>
        <w:t>6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6.18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万元，资本性支出</w:t>
      </w:r>
      <w:r>
        <w:rPr>
          <w:rFonts w:asciiTheme="minorEastAsia" w:eastAsiaTheme="minorEastAsia" w:hAnsiTheme="minorEastAsia" w:cstheme="minorEastAsia"/>
          <w:sz w:val="32"/>
          <w:szCs w:val="32"/>
        </w:rPr>
        <w:t>0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万元。</w:t>
      </w:r>
    </w:p>
    <w:p w:rsidR="00FE4FB9" w:rsidRDefault="00596F24">
      <w:pPr>
        <w:pStyle w:val="a3"/>
        <w:widowControl/>
        <w:spacing w:line="560" w:lineRule="exact"/>
        <w:ind w:left="63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（二）总体绩效目标完成情况分析。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按时发放教师工资，缴纳各类保险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277.1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万元；办公经费等正常开支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66.18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万元。学校完成学期内的各项教学计划和任务，积极组织教师队伍培训，提高学生成绩。加强校园安全教育，消防演练，防震抗</w:t>
      </w:r>
      <w:proofErr w:type="gramStart"/>
      <w:r>
        <w:rPr>
          <w:rFonts w:asciiTheme="minorEastAsia" w:eastAsiaTheme="minorEastAsia" w:hAnsiTheme="minorEastAsia" w:cstheme="minorEastAsia" w:hint="eastAsia"/>
          <w:sz w:val="32"/>
          <w:szCs w:val="32"/>
        </w:rPr>
        <w:t>疫</w:t>
      </w:r>
      <w:proofErr w:type="gramEnd"/>
      <w:r>
        <w:rPr>
          <w:rFonts w:asciiTheme="minorEastAsia" w:eastAsiaTheme="minorEastAsia" w:hAnsiTheme="minorEastAsia" w:cstheme="minorEastAsia" w:hint="eastAsia"/>
          <w:sz w:val="32"/>
          <w:szCs w:val="32"/>
        </w:rPr>
        <w:t>演练顺利有序进行，确保师生在校安全。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/>
          <w:sz w:val="32"/>
          <w:szCs w:val="32"/>
        </w:rPr>
        <w:t xml:space="preserve"> （三）各项指标完成情况分析。</w:t>
      </w:r>
    </w:p>
    <w:p w:rsidR="00FE4FB9" w:rsidRDefault="00596F24">
      <w:pPr>
        <w:pStyle w:val="a3"/>
        <w:widowControl/>
        <w:spacing w:line="560" w:lineRule="exact"/>
        <w:ind w:leftChars="200" w:left="420" w:firstLineChars="100" w:firstLine="32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1.部门管理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202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年度本单位人员经费支出和公用经费支出合理，本年度总支出与调整后的预算一致。由于教师兼职采购、资产管理，故采购和资产管理方面还不太完善，需加强这方面的培训。我单位无“三公”经费支出，学校认真执行财务制度，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lastRenderedPageBreak/>
        <w:t>严守财经纪律，账册齐全，账目清楚，资金使用规范，开支合理。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2.履职效果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严格执行教学课程计划，教师上课质量、备课质量、学生作业质量以及教师各种业务等必须严格按照要求完成；在教师考勤方面，制定了严格的教师考勤</w:t>
      </w:r>
      <w:proofErr w:type="gramStart"/>
      <w:r>
        <w:rPr>
          <w:rFonts w:asciiTheme="minorEastAsia" w:eastAsiaTheme="minorEastAsia" w:hAnsiTheme="minorEastAsia" w:cstheme="minorEastAsia" w:hint="eastAsia"/>
          <w:sz w:val="32"/>
          <w:szCs w:val="32"/>
        </w:rPr>
        <w:t>假管理</w:t>
      </w:r>
      <w:proofErr w:type="gramEnd"/>
      <w:r>
        <w:rPr>
          <w:rFonts w:asciiTheme="minorEastAsia" w:eastAsiaTheme="minorEastAsia" w:hAnsiTheme="minorEastAsia" w:cstheme="minorEastAsia" w:hint="eastAsia"/>
          <w:sz w:val="32"/>
          <w:szCs w:val="32"/>
        </w:rPr>
        <w:t>办法。</w:t>
      </w:r>
    </w:p>
    <w:p w:rsidR="00FE4FB9" w:rsidRDefault="00596F24">
      <w:pPr>
        <w:pStyle w:val="a3"/>
        <w:widowControl/>
        <w:numPr>
          <w:ilvl w:val="0"/>
          <w:numId w:val="4"/>
        </w:numPr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绩效自评结果拟应用和公开情况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绩效自评在一定程度上提高了我校的办学效率，增强了学校的社会服务能力，但目前也只是出于探索阶段，还有很多地方存在不足需要完善。</w:t>
      </w:r>
    </w:p>
    <w:p w:rsidR="00FE4FB9" w:rsidRDefault="00596F24">
      <w:pPr>
        <w:pStyle w:val="a3"/>
        <w:widowControl/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五、其他需要说明的问题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无。</w:t>
      </w:r>
    </w:p>
    <w:p w:rsidR="00FE4FB9" w:rsidRDefault="00FE4FB9">
      <w:pPr>
        <w:pStyle w:val="a3"/>
        <w:widowControl/>
        <w:spacing w:line="560" w:lineRule="exact"/>
        <w:jc w:val="both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E4FB9" w:rsidRDefault="00596F24" w:rsidP="00596F24">
      <w:pPr>
        <w:pStyle w:val="a3"/>
        <w:widowControl/>
        <w:spacing w:line="560" w:lineRule="exact"/>
        <w:jc w:val="right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兰州新区第二初级中学</w:t>
      </w:r>
    </w:p>
    <w:p w:rsidR="00FE4FB9" w:rsidRDefault="00596F24">
      <w:pPr>
        <w:pStyle w:val="a3"/>
        <w:widowControl/>
        <w:spacing w:line="560" w:lineRule="exact"/>
        <w:ind w:firstLineChars="200" w:firstLine="64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                       </w:t>
      </w:r>
      <w:r>
        <w:rPr>
          <w:rFonts w:asciiTheme="minorEastAsia" w:eastAsiaTheme="minorEastAsia" w:hAnsiTheme="minorEastAsia" w:cstheme="minorEastAsia"/>
          <w:sz w:val="32"/>
          <w:szCs w:val="32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202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年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9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月</w:t>
      </w:r>
      <w:r w:rsidR="000C38CB">
        <w:rPr>
          <w:rFonts w:asciiTheme="minorEastAsia" w:eastAsiaTheme="minorEastAsia" w:hAnsiTheme="minorEastAsia" w:cstheme="minorEastAsia" w:hint="eastAsia"/>
          <w:sz w:val="32"/>
          <w:szCs w:val="32"/>
        </w:rPr>
        <w:t>13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日</w:t>
      </w:r>
    </w:p>
    <w:p w:rsidR="00FE4FB9" w:rsidRDefault="00FE4FB9">
      <w:pPr>
        <w:spacing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sectPr w:rsidR="00FE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E8A" w:rsidRDefault="00261E8A" w:rsidP="000C38CB">
      <w:r>
        <w:separator/>
      </w:r>
    </w:p>
  </w:endnote>
  <w:endnote w:type="continuationSeparator" w:id="0">
    <w:p w:rsidR="00261E8A" w:rsidRDefault="00261E8A" w:rsidP="000C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E8A" w:rsidRDefault="00261E8A" w:rsidP="000C38CB">
      <w:r>
        <w:separator/>
      </w:r>
    </w:p>
  </w:footnote>
  <w:footnote w:type="continuationSeparator" w:id="0">
    <w:p w:rsidR="00261E8A" w:rsidRDefault="00261E8A" w:rsidP="000C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947C6EA"/>
    <w:multiLevelType w:val="singleLevel"/>
    <w:tmpl w:val="F947C6EA"/>
    <w:lvl w:ilvl="0">
      <w:start w:val="1"/>
      <w:numFmt w:val="chineseCounting"/>
      <w:suff w:val="nothing"/>
      <w:lvlText w:val="（%1）"/>
      <w:lvlJc w:val="left"/>
      <w:pPr>
        <w:ind w:left="-220"/>
      </w:pPr>
      <w:rPr>
        <w:rFonts w:hint="eastAsia"/>
      </w:rPr>
    </w:lvl>
  </w:abstractNum>
  <w:abstractNum w:abstractNumId="1" w15:restartNumberingAfterBreak="0">
    <w:nsid w:val="12F56666"/>
    <w:multiLevelType w:val="singleLevel"/>
    <w:tmpl w:val="12F56666"/>
    <w:lvl w:ilvl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 w15:restartNumberingAfterBreak="0">
    <w:nsid w:val="1A10FA0C"/>
    <w:multiLevelType w:val="singleLevel"/>
    <w:tmpl w:val="1A10FA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F4A990F"/>
    <w:multiLevelType w:val="singleLevel"/>
    <w:tmpl w:val="4F4A990F"/>
    <w:lvl w:ilvl="0">
      <w:start w:val="1"/>
      <w:numFmt w:val="chineseCounting"/>
      <w:suff w:val="nothing"/>
      <w:lvlText w:val="%1、"/>
      <w:lvlJc w:val="left"/>
      <w:pPr>
        <w:ind w:left="-43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764F14"/>
    <w:rsid w:val="000C38CB"/>
    <w:rsid w:val="00261E8A"/>
    <w:rsid w:val="00596F24"/>
    <w:rsid w:val="005A74A5"/>
    <w:rsid w:val="0079105E"/>
    <w:rsid w:val="008F32AD"/>
    <w:rsid w:val="00FE4FB9"/>
    <w:rsid w:val="025910A5"/>
    <w:rsid w:val="025C79C4"/>
    <w:rsid w:val="02993B7F"/>
    <w:rsid w:val="0F166351"/>
    <w:rsid w:val="0F2D51BF"/>
    <w:rsid w:val="17C805D1"/>
    <w:rsid w:val="17F203BD"/>
    <w:rsid w:val="1AE2411E"/>
    <w:rsid w:val="1F382B06"/>
    <w:rsid w:val="216D218E"/>
    <w:rsid w:val="21D356C1"/>
    <w:rsid w:val="2CC37588"/>
    <w:rsid w:val="2D083566"/>
    <w:rsid w:val="2D9F22B2"/>
    <w:rsid w:val="2E8E024E"/>
    <w:rsid w:val="2F96351D"/>
    <w:rsid w:val="30A40692"/>
    <w:rsid w:val="30D86009"/>
    <w:rsid w:val="31C23E0E"/>
    <w:rsid w:val="3CD50FB8"/>
    <w:rsid w:val="443E2948"/>
    <w:rsid w:val="472F0AD2"/>
    <w:rsid w:val="491115CA"/>
    <w:rsid w:val="4F964F65"/>
    <w:rsid w:val="4FFF301F"/>
    <w:rsid w:val="52855625"/>
    <w:rsid w:val="52D43728"/>
    <w:rsid w:val="53723B92"/>
    <w:rsid w:val="57764F14"/>
    <w:rsid w:val="5FBA4752"/>
    <w:rsid w:val="62DC6F0B"/>
    <w:rsid w:val="63DA2E92"/>
    <w:rsid w:val="63FE2DD1"/>
    <w:rsid w:val="64DF480E"/>
    <w:rsid w:val="67DC6E9F"/>
    <w:rsid w:val="6A345210"/>
    <w:rsid w:val="6CA963A0"/>
    <w:rsid w:val="6F8B5235"/>
    <w:rsid w:val="7107638D"/>
    <w:rsid w:val="722732D3"/>
    <w:rsid w:val="75440CCF"/>
    <w:rsid w:val="75A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D4B18"/>
  <w15:docId w15:val="{C9D5BFED-DD97-4D90-A465-90124553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ascii="微软雅黑" w:eastAsia="微软雅黑" w:hAnsi="微软雅黑" w:cs="Times New Roman"/>
      <w:kern w:val="0"/>
      <w:sz w:val="24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a5">
    <w:name w:val="Emphasis"/>
    <w:basedOn w:val="a0"/>
    <w:qFormat/>
    <w:rPr>
      <w:rFonts w:ascii="微软雅黑" w:eastAsia="微软雅黑" w:hAnsi="微软雅黑" w:cs="微软雅黑" w:hint="eastAsia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after">
    <w:name w:val="after"/>
    <w:basedOn w:val="a0"/>
    <w:qFormat/>
    <w:rPr>
      <w:shd w:val="clear" w:color="auto" w:fill="FFFFFF"/>
    </w:rPr>
  </w:style>
  <w:style w:type="character" w:customStyle="1" w:styleId="text">
    <w:name w:val="text"/>
    <w:basedOn w:val="a0"/>
    <w:qFormat/>
    <w:rPr>
      <w:color w:val="666666"/>
    </w:rPr>
  </w:style>
  <w:style w:type="character" w:customStyle="1" w:styleId="bsharetext">
    <w:name w:val="bsharetext"/>
    <w:basedOn w:val="a0"/>
    <w:qFormat/>
  </w:style>
  <w:style w:type="character" w:customStyle="1" w:styleId="last">
    <w:name w:val="last"/>
    <w:basedOn w:val="a0"/>
    <w:qFormat/>
  </w:style>
  <w:style w:type="character" w:customStyle="1" w:styleId="wx-space">
    <w:name w:val="wx-space"/>
    <w:basedOn w:val="a0"/>
    <w:qFormat/>
  </w:style>
  <w:style w:type="character" w:customStyle="1" w:styleId="wx-space1">
    <w:name w:val="wx-space1"/>
    <w:basedOn w:val="a0"/>
    <w:qFormat/>
  </w:style>
  <w:style w:type="character" w:customStyle="1" w:styleId="hover20">
    <w:name w:val="hover20"/>
    <w:basedOn w:val="a0"/>
    <w:qFormat/>
    <w:rPr>
      <w:color w:val="000000"/>
      <w:shd w:val="clear" w:color="auto" w:fill="FFFFFF"/>
    </w:rPr>
  </w:style>
  <w:style w:type="character" w:customStyle="1" w:styleId="line">
    <w:name w:val="line"/>
    <w:basedOn w:val="a0"/>
    <w:qFormat/>
  </w:style>
  <w:style w:type="character" w:customStyle="1" w:styleId="line1">
    <w:name w:val="line1"/>
    <w:basedOn w:val="a0"/>
    <w:qFormat/>
  </w:style>
  <w:style w:type="character" w:customStyle="1" w:styleId="hover29">
    <w:name w:val="hover29"/>
    <w:basedOn w:val="a0"/>
    <w:qFormat/>
    <w:rPr>
      <w:color w:val="000000"/>
      <w:shd w:val="clear" w:color="auto" w:fill="FFFFFF"/>
    </w:rPr>
  </w:style>
  <w:style w:type="character" w:customStyle="1" w:styleId="n3">
    <w:name w:val="n3"/>
    <w:basedOn w:val="a0"/>
    <w:qFormat/>
  </w:style>
  <w:style w:type="character" w:customStyle="1" w:styleId="a10">
    <w:name w:val="a1"/>
    <w:basedOn w:val="a0"/>
    <w:qFormat/>
  </w:style>
  <w:style w:type="character" w:customStyle="1" w:styleId="a20">
    <w:name w:val="a2"/>
    <w:basedOn w:val="a0"/>
    <w:qFormat/>
  </w:style>
  <w:style w:type="character" w:customStyle="1" w:styleId="a30">
    <w:name w:val="a3"/>
    <w:basedOn w:val="a0"/>
    <w:qFormat/>
  </w:style>
  <w:style w:type="character" w:customStyle="1" w:styleId="a40">
    <w:name w:val="a4"/>
    <w:basedOn w:val="a0"/>
    <w:qFormat/>
  </w:style>
  <w:style w:type="character" w:customStyle="1" w:styleId="n1">
    <w:name w:val="n1"/>
    <w:basedOn w:val="a0"/>
    <w:qFormat/>
  </w:style>
  <w:style w:type="character" w:customStyle="1" w:styleId="n2">
    <w:name w:val="n2"/>
    <w:basedOn w:val="a0"/>
    <w:qFormat/>
  </w:style>
  <w:style w:type="character" w:customStyle="1" w:styleId="n4">
    <w:name w:val="n4"/>
    <w:basedOn w:val="a0"/>
    <w:qFormat/>
  </w:style>
  <w:style w:type="character" w:customStyle="1" w:styleId="n5">
    <w:name w:val="n5"/>
    <w:basedOn w:val="a0"/>
    <w:qFormat/>
  </w:style>
  <w:style w:type="paragraph" w:styleId="a7">
    <w:name w:val="Balloon Text"/>
    <w:basedOn w:val="a"/>
    <w:link w:val="a8"/>
    <w:rsid w:val="00596F24"/>
    <w:rPr>
      <w:sz w:val="18"/>
      <w:szCs w:val="18"/>
    </w:rPr>
  </w:style>
  <w:style w:type="character" w:customStyle="1" w:styleId="a8">
    <w:name w:val="批注框文本 字符"/>
    <w:basedOn w:val="a0"/>
    <w:link w:val="a7"/>
    <w:rsid w:val="00596F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rsid w:val="000C3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0C38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0C3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0C38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2021-09-01T06:21:00Z</cp:lastPrinted>
  <dcterms:created xsi:type="dcterms:W3CDTF">2021-03-04T06:20:00Z</dcterms:created>
  <dcterms:modified xsi:type="dcterms:W3CDTF">2022-09-14T02:31:00Z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E37F5031A5F34B10914B05824E8E595A</vt:lpwstr>
  </property>
</Properties>
</file>