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insoku w:val="0"/>
        <w:overflowPunct w:val="0"/>
        <w:ind w:left="0"/>
        <w:rPr>
          <w:rFonts w:hint="default" w:ascii="Times New Roman" w:hAnsi="Times New Roman" w:eastAsia="Times New Roman"/>
          <w:sz w:val="20"/>
          <w:szCs w:val="24"/>
        </w:rPr>
      </w:pPr>
      <w:bookmarkStart w:id="0" w:name="_GoBack"/>
      <w:bookmarkEnd w:id="0"/>
    </w:p>
    <w:p>
      <w:pPr>
        <w:pStyle w:val="3"/>
        <w:kinsoku w:val="0"/>
        <w:overflowPunct w:val="0"/>
        <w:ind w:left="0"/>
        <w:rPr>
          <w:rFonts w:hint="default" w:ascii="Times New Roman" w:hAnsi="Times New Roman" w:eastAsia="Times New Roman"/>
          <w:sz w:val="20"/>
          <w:szCs w:val="24"/>
        </w:rPr>
      </w:pPr>
    </w:p>
    <w:p>
      <w:pPr>
        <w:pStyle w:val="3"/>
        <w:kinsoku w:val="0"/>
        <w:overflowPunct w:val="0"/>
        <w:ind w:left="0"/>
        <w:rPr>
          <w:rFonts w:hint="default" w:ascii="Times New Roman" w:hAnsi="Times New Roman" w:eastAsia="Times New Roman"/>
          <w:sz w:val="20"/>
          <w:szCs w:val="24"/>
        </w:rPr>
      </w:pPr>
    </w:p>
    <w:p>
      <w:pPr>
        <w:pStyle w:val="3"/>
        <w:kinsoku w:val="0"/>
        <w:overflowPunct w:val="0"/>
        <w:ind w:left="0"/>
        <w:rPr>
          <w:rFonts w:hint="default" w:ascii="Times New Roman" w:hAnsi="Times New Roman" w:eastAsia="Times New Roman"/>
          <w:sz w:val="20"/>
          <w:szCs w:val="24"/>
        </w:rPr>
      </w:pPr>
    </w:p>
    <w:p>
      <w:pPr>
        <w:pStyle w:val="3"/>
        <w:kinsoku w:val="0"/>
        <w:overflowPunct w:val="0"/>
        <w:ind w:left="0"/>
        <w:rPr>
          <w:rFonts w:hint="default" w:ascii="Times New Roman" w:hAnsi="Times New Roman" w:eastAsia="Times New Roman"/>
          <w:sz w:val="20"/>
          <w:szCs w:val="24"/>
        </w:rPr>
      </w:pPr>
    </w:p>
    <w:p>
      <w:pPr>
        <w:pStyle w:val="3"/>
        <w:kinsoku w:val="0"/>
        <w:overflowPunct w:val="0"/>
        <w:ind w:left="0"/>
        <w:rPr>
          <w:rFonts w:hint="default" w:ascii="Times New Roman" w:hAnsi="Times New Roman" w:eastAsia="Times New Roman"/>
          <w:sz w:val="20"/>
          <w:szCs w:val="24"/>
        </w:rPr>
      </w:pPr>
    </w:p>
    <w:p>
      <w:pPr>
        <w:pStyle w:val="3"/>
        <w:kinsoku w:val="0"/>
        <w:overflowPunct w:val="0"/>
        <w:ind w:left="0"/>
        <w:rPr>
          <w:rFonts w:hint="default" w:ascii="Times New Roman" w:hAnsi="Times New Roman" w:eastAsia="Times New Roman"/>
          <w:sz w:val="20"/>
          <w:szCs w:val="24"/>
        </w:rPr>
      </w:pPr>
    </w:p>
    <w:p>
      <w:pPr>
        <w:pStyle w:val="3"/>
        <w:kinsoku w:val="0"/>
        <w:overflowPunct w:val="0"/>
        <w:ind w:left="0"/>
        <w:rPr>
          <w:rFonts w:hint="default" w:ascii="Times New Roman" w:hAnsi="Times New Roman" w:eastAsia="Times New Roman"/>
          <w:sz w:val="20"/>
          <w:szCs w:val="24"/>
        </w:rPr>
      </w:pPr>
    </w:p>
    <w:p>
      <w:pPr>
        <w:pStyle w:val="3"/>
        <w:kinsoku w:val="0"/>
        <w:overflowPunct w:val="0"/>
        <w:ind w:left="0"/>
        <w:rPr>
          <w:rFonts w:hint="default" w:ascii="Times New Roman" w:hAnsi="Times New Roman" w:eastAsia="Times New Roman"/>
          <w:sz w:val="20"/>
          <w:szCs w:val="24"/>
        </w:rPr>
      </w:pPr>
    </w:p>
    <w:p>
      <w:pPr>
        <w:pStyle w:val="3"/>
        <w:kinsoku w:val="0"/>
        <w:overflowPunct w:val="0"/>
        <w:spacing w:before="166"/>
        <w:ind w:left="0" w:right="26"/>
        <w:jc w:val="center"/>
        <w:rPr>
          <w:rFonts w:hint="default" w:ascii="方正黑体简体" w:hAnsi="方正黑体简体" w:eastAsia="方正黑体简体"/>
          <w:color w:val="231F20"/>
          <w:sz w:val="48"/>
          <w:szCs w:val="24"/>
        </w:rPr>
      </w:pPr>
      <w:r>
        <w:rPr>
          <w:rFonts w:hint="default" w:ascii="方正黑体简体" w:hAnsi="方正黑体简体" w:eastAsia="方正黑体简体"/>
          <w:color w:val="231F20"/>
          <w:sz w:val="48"/>
          <w:szCs w:val="24"/>
        </w:rPr>
        <w:t>兰州新区“十四五”卫生健康事业发展规划</w:t>
      </w: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ind w:left="0"/>
        <w:rPr>
          <w:rFonts w:hint="default" w:ascii="方正黑体简体" w:hAnsi="方正黑体简体" w:eastAsia="方正黑体简体"/>
          <w:sz w:val="54"/>
          <w:szCs w:val="24"/>
        </w:rPr>
      </w:pPr>
    </w:p>
    <w:p>
      <w:pPr>
        <w:pStyle w:val="3"/>
        <w:kinsoku w:val="0"/>
        <w:overflowPunct w:val="0"/>
        <w:spacing w:before="10"/>
        <w:ind w:left="0"/>
        <w:rPr>
          <w:rFonts w:hint="default" w:ascii="方正黑体简体" w:hAnsi="方正黑体简体" w:eastAsia="方正黑体简体"/>
          <w:sz w:val="77"/>
          <w:szCs w:val="24"/>
        </w:rPr>
      </w:pPr>
    </w:p>
    <w:p>
      <w:pPr>
        <w:pStyle w:val="2"/>
        <w:kinsoku w:val="0"/>
        <w:overflowPunct w:val="0"/>
        <w:rPr>
          <w:rFonts w:hint="default" w:ascii="楷体_GB2312" w:hAnsi="楷体_GB2312" w:eastAsia="楷体_GB2312"/>
          <w:color w:val="231F20"/>
          <w:position w:val="1"/>
          <w:sz w:val="40"/>
          <w:szCs w:val="24"/>
        </w:rPr>
      </w:pPr>
      <w:r>
        <w:rPr>
          <w:rFonts w:hint="default" w:ascii="楷体_GB2312" w:hAnsi="楷体_GB2312" w:eastAsia="楷体_GB2312"/>
          <w:color w:val="231F20"/>
          <w:position w:val="1"/>
          <w:sz w:val="40"/>
          <w:szCs w:val="24"/>
        </w:rPr>
        <w:t>二</w:t>
      </w:r>
      <w:r>
        <w:rPr>
          <w:rFonts w:hint="eastAsia" w:ascii="宋体" w:hAnsi="宋体" w:eastAsia="宋体"/>
          <w:color w:val="231F20"/>
          <w:sz w:val="40"/>
          <w:szCs w:val="24"/>
        </w:rPr>
        <w:t>〇</w:t>
      </w:r>
      <w:r>
        <w:rPr>
          <w:rFonts w:hint="default" w:ascii="楷体_GB2312" w:hAnsi="楷体_GB2312" w:eastAsia="楷体_GB2312"/>
          <w:color w:val="231F20"/>
          <w:position w:val="1"/>
          <w:sz w:val="40"/>
          <w:szCs w:val="24"/>
        </w:rPr>
        <w:t>二一年十二月</w:t>
      </w:r>
    </w:p>
    <w:p>
      <w:pPr>
        <w:pStyle w:val="2"/>
        <w:kinsoku w:val="0"/>
        <w:overflowPunct w:val="0"/>
        <w:rPr>
          <w:rFonts w:hint="default" w:ascii="楷体_GB2312" w:hAnsi="楷体_GB2312" w:eastAsia="楷体_GB2312"/>
          <w:color w:val="231F20"/>
          <w:position w:val="1"/>
          <w:sz w:val="40"/>
          <w:szCs w:val="24"/>
        </w:rPr>
        <w:sectPr>
          <w:type w:val="continuous"/>
          <w:pgSz w:w="12250" w:h="17180"/>
          <w:pgMar w:top="1620" w:right="1480" w:bottom="280" w:left="1480" w:header="720" w:footer="720" w:gutter="0"/>
          <w:lnNumType w:countBy="0" w:distance="360"/>
          <w:cols w:space="720" w:num="1"/>
        </w:sectPr>
      </w:pPr>
    </w:p>
    <w:p>
      <w:pPr>
        <w:pStyle w:val="3"/>
        <w:kinsoku w:val="0"/>
        <w:overflowPunct w:val="0"/>
        <w:ind w:left="0"/>
        <w:rPr>
          <w:rFonts w:hint="default" w:ascii="楷体_GB2312" w:hAnsi="楷体_GB2312" w:eastAsia="楷体_GB2312"/>
          <w:sz w:val="20"/>
          <w:szCs w:val="24"/>
        </w:rPr>
      </w:pPr>
    </w:p>
    <w:p>
      <w:pPr>
        <w:pStyle w:val="3"/>
        <w:kinsoku w:val="0"/>
        <w:overflowPunct w:val="0"/>
        <w:ind w:left="0"/>
        <w:rPr>
          <w:rFonts w:hint="default" w:ascii="楷体_GB2312" w:hAnsi="楷体_GB2312" w:eastAsia="楷体_GB2312"/>
          <w:sz w:val="20"/>
          <w:szCs w:val="24"/>
        </w:rPr>
      </w:pPr>
    </w:p>
    <w:p>
      <w:pPr>
        <w:pStyle w:val="3"/>
        <w:kinsoku w:val="0"/>
        <w:overflowPunct w:val="0"/>
        <w:ind w:left="0"/>
        <w:rPr>
          <w:rFonts w:hint="default" w:ascii="楷体_GB2312" w:hAnsi="楷体_GB2312" w:eastAsia="楷体_GB2312"/>
          <w:sz w:val="20"/>
          <w:szCs w:val="24"/>
        </w:rPr>
      </w:pPr>
    </w:p>
    <w:p>
      <w:pPr>
        <w:pStyle w:val="3"/>
        <w:kinsoku w:val="0"/>
        <w:overflowPunct w:val="0"/>
        <w:ind w:left="0"/>
        <w:rPr>
          <w:rFonts w:hint="default" w:ascii="楷体_GB2312" w:hAnsi="楷体_GB2312" w:eastAsia="楷体_GB2312"/>
          <w:sz w:val="20"/>
          <w:szCs w:val="24"/>
        </w:rPr>
      </w:pPr>
    </w:p>
    <w:p>
      <w:pPr>
        <w:pStyle w:val="3"/>
        <w:kinsoku w:val="0"/>
        <w:overflowPunct w:val="0"/>
        <w:spacing w:before="10"/>
        <w:ind w:left="0"/>
        <w:rPr>
          <w:rFonts w:hint="default" w:ascii="楷体_GB2312" w:hAnsi="楷体_GB2312" w:eastAsia="楷体_GB2312"/>
          <w:sz w:val="26"/>
          <w:szCs w:val="24"/>
        </w:rPr>
      </w:pPr>
    </w:p>
    <w:p>
      <w:pPr>
        <w:pStyle w:val="3"/>
        <w:tabs>
          <w:tab w:val="left" w:pos="843"/>
        </w:tabs>
        <w:kinsoku w:val="0"/>
        <w:overflowPunct w:val="0"/>
        <w:spacing w:before="9"/>
        <w:ind w:left="0"/>
        <w:jc w:val="center"/>
        <w:rPr>
          <w:rFonts w:hint="default" w:ascii="方正黑体简体" w:hAnsi="方正黑体简体" w:eastAsia="方正黑体简体"/>
          <w:color w:val="231F20"/>
          <w:sz w:val="40"/>
          <w:szCs w:val="24"/>
        </w:rPr>
      </w:pPr>
      <w:r>
        <w:rPr>
          <w:rFonts w:hint="default" w:ascii="方正黑体简体" w:hAnsi="方正黑体简体" w:eastAsia="方正黑体简体"/>
          <w:color w:val="231F20"/>
          <w:sz w:val="40"/>
          <w:szCs w:val="24"/>
        </w:rPr>
        <w:t>前</w:t>
      </w:r>
      <w:r>
        <w:rPr>
          <w:rFonts w:hint="default" w:ascii="方正黑体简体" w:hAnsi="方正黑体简体" w:eastAsia="方正黑体简体"/>
          <w:color w:val="231F20"/>
          <w:sz w:val="40"/>
          <w:szCs w:val="24"/>
        </w:rPr>
        <w:tab/>
      </w:r>
      <w:r>
        <w:rPr>
          <w:rFonts w:hint="default" w:ascii="方正黑体简体" w:hAnsi="方正黑体简体" w:eastAsia="方正黑体简体"/>
          <w:color w:val="231F20"/>
          <w:sz w:val="40"/>
          <w:szCs w:val="24"/>
        </w:rPr>
        <w:t>言</w:t>
      </w:r>
    </w:p>
    <w:p>
      <w:pPr>
        <w:pStyle w:val="3"/>
        <w:kinsoku w:val="0"/>
        <w:overflowPunct w:val="0"/>
        <w:spacing w:before="12"/>
        <w:ind w:left="0"/>
        <w:rPr>
          <w:rFonts w:hint="default" w:ascii="方正黑体简体" w:hAnsi="方正黑体简体" w:eastAsia="方正黑体简体"/>
          <w:sz w:val="33"/>
          <w:szCs w:val="24"/>
        </w:rPr>
      </w:pPr>
    </w:p>
    <w:p>
      <w:pPr>
        <w:pStyle w:val="3"/>
        <w:kinsoku w:val="0"/>
        <w:overflowPunct w:val="0"/>
        <w:spacing w:line="328" w:lineRule="auto"/>
        <w:ind w:right="255" w:firstLine="680"/>
        <w:jc w:val="both"/>
        <w:rPr>
          <w:rFonts w:hint="default" w:ascii="楷体_GB2312" w:hAnsi="楷体_GB2312" w:eastAsia="楷体_GB2312"/>
          <w:color w:val="231F20"/>
          <w:spacing w:val="15"/>
          <w:sz w:val="32"/>
          <w:szCs w:val="24"/>
        </w:rPr>
      </w:pPr>
      <w:r>
        <w:rPr>
          <w:rFonts w:hint="default" w:ascii="楷体_GB2312" w:hAnsi="楷体_GB2312" w:eastAsia="楷体_GB2312"/>
          <w:color w:val="231F20"/>
          <w:spacing w:val="11"/>
          <w:sz w:val="32"/>
          <w:szCs w:val="24"/>
        </w:rPr>
        <w:t>“十四五”时期是我国“两个一百年”奋斗目标的历史</w:t>
      </w:r>
      <w:r>
        <w:rPr>
          <w:rFonts w:hint="default" w:ascii="楷体_GB2312" w:hAnsi="楷体_GB2312" w:eastAsia="楷体_GB2312"/>
          <w:color w:val="231F20"/>
          <w:spacing w:val="1"/>
          <w:sz w:val="32"/>
          <w:szCs w:val="24"/>
        </w:rPr>
        <w:t>交汇期，是全面开启社会主义现代化强国建设新征程的重要机</w:t>
      </w:r>
      <w:r>
        <w:rPr>
          <w:rFonts w:hint="default" w:ascii="楷体_GB2312" w:hAnsi="楷体_GB2312" w:eastAsia="楷体_GB2312"/>
          <w:color w:val="231F20"/>
          <w:sz w:val="32"/>
          <w:szCs w:val="24"/>
        </w:rPr>
        <w:t>遇期，也是“健康中国”“健康甘肃”“健康新区”建设的重</w:t>
      </w:r>
      <w:r>
        <w:rPr>
          <w:rFonts w:hint="default" w:ascii="楷体_GB2312" w:hAnsi="楷体_GB2312" w:eastAsia="楷体_GB2312"/>
          <w:color w:val="231F20"/>
          <w:spacing w:val="-6"/>
          <w:sz w:val="32"/>
          <w:szCs w:val="24"/>
        </w:rPr>
        <w:t>要阶段。根据《“健康中国</w:t>
      </w:r>
      <w:r>
        <w:rPr>
          <w:rFonts w:hint="eastAsia"/>
          <w:color w:val="231F20"/>
          <w:spacing w:val="-6"/>
          <w:sz w:val="32"/>
          <w:szCs w:val="24"/>
        </w:rPr>
        <w:t xml:space="preserve"> </w:t>
      </w:r>
      <w:r>
        <w:rPr>
          <w:rFonts w:hint="eastAsia"/>
          <w:color w:val="231F20"/>
          <w:sz w:val="32"/>
          <w:szCs w:val="24"/>
        </w:rPr>
        <w:t>2030</w:t>
      </w:r>
      <w:r>
        <w:rPr>
          <w:rFonts w:hint="default" w:ascii="楷体_GB2312" w:hAnsi="楷体_GB2312" w:eastAsia="楷体_GB2312"/>
          <w:color w:val="231F20"/>
          <w:spacing w:val="5"/>
          <w:sz w:val="32"/>
          <w:szCs w:val="24"/>
        </w:rPr>
        <w:t>”规划纲要》《中共中央 国</w:t>
      </w:r>
      <w:r>
        <w:rPr>
          <w:rFonts w:hint="default" w:ascii="楷体_GB2312" w:hAnsi="楷体_GB2312" w:eastAsia="楷体_GB2312"/>
          <w:color w:val="231F20"/>
          <w:spacing w:val="15"/>
          <w:sz w:val="32"/>
          <w:szCs w:val="24"/>
        </w:rPr>
        <w:t>务院关于促进中医药传承创新发展的意见》《健康中国行动</w:t>
      </w:r>
    </w:p>
    <w:p>
      <w:pPr>
        <w:pStyle w:val="3"/>
        <w:kinsoku w:val="0"/>
        <w:overflowPunct w:val="0"/>
        <w:spacing w:line="328" w:lineRule="auto"/>
        <w:ind w:right="275"/>
        <w:jc w:val="both"/>
        <w:rPr>
          <w:rFonts w:hint="default" w:ascii="楷体_GB2312" w:hAnsi="楷体_GB2312" w:eastAsia="楷体_GB2312"/>
          <w:color w:val="231F20"/>
          <w:sz w:val="32"/>
          <w:szCs w:val="24"/>
        </w:rPr>
      </w:pPr>
      <w:r>
        <w:rPr>
          <w:rFonts w:hint="default" w:ascii="楷体_GB2312" w:hAnsi="楷体_GB2312" w:eastAsia="楷体_GB2312"/>
          <w:color w:val="231F20"/>
          <w:sz w:val="32"/>
          <w:szCs w:val="24"/>
        </w:rPr>
        <w:t>（</w:t>
      </w:r>
      <w:r>
        <w:rPr>
          <w:rFonts w:hint="eastAsia"/>
          <w:color w:val="231F20"/>
          <w:sz w:val="32"/>
          <w:szCs w:val="24"/>
        </w:rPr>
        <w:t>2019—2030</w:t>
      </w:r>
      <w:r>
        <w:rPr>
          <w:rFonts w:hint="eastAsia"/>
          <w:color w:val="231F20"/>
          <w:spacing w:val="-33"/>
          <w:sz w:val="32"/>
          <w:szCs w:val="24"/>
        </w:rPr>
        <w:t xml:space="preserve"> </w:t>
      </w:r>
      <w:r>
        <w:rPr>
          <w:rFonts w:hint="default" w:ascii="楷体_GB2312" w:hAnsi="楷体_GB2312" w:eastAsia="楷体_GB2312"/>
          <w:color w:val="231F20"/>
          <w:spacing w:val="-33"/>
          <w:sz w:val="32"/>
          <w:szCs w:val="24"/>
        </w:rPr>
        <w:t>年</w:t>
      </w:r>
      <w:r>
        <w:rPr>
          <w:rFonts w:hint="default" w:ascii="楷体_GB2312" w:hAnsi="楷体_GB2312" w:eastAsia="楷体_GB2312"/>
          <w:color w:val="231F20"/>
          <w:sz w:val="32"/>
          <w:szCs w:val="24"/>
        </w:rPr>
        <w:t>）》《“健康甘肃</w:t>
      </w:r>
      <w:r>
        <w:rPr>
          <w:rFonts w:hint="eastAsia"/>
          <w:color w:val="231F20"/>
          <w:sz w:val="32"/>
          <w:szCs w:val="24"/>
        </w:rPr>
        <w:t xml:space="preserve"> </w:t>
      </w:r>
      <w:r>
        <w:rPr>
          <w:rFonts w:hint="eastAsia"/>
          <w:color w:val="231F20"/>
          <w:spacing w:val="4"/>
          <w:sz w:val="32"/>
          <w:szCs w:val="24"/>
        </w:rPr>
        <w:t>2030</w:t>
      </w:r>
      <w:r>
        <w:rPr>
          <w:rFonts w:hint="default" w:ascii="楷体_GB2312" w:hAnsi="楷体_GB2312" w:eastAsia="楷体_GB2312"/>
          <w:color w:val="231F20"/>
          <w:spacing w:val="11"/>
          <w:sz w:val="32"/>
          <w:szCs w:val="24"/>
        </w:rPr>
        <w:t>”规划》《甘肃省国</w:t>
      </w:r>
      <w:r>
        <w:rPr>
          <w:rFonts w:hint="default" w:ascii="楷体_GB2312" w:hAnsi="楷体_GB2312" w:eastAsia="楷体_GB2312"/>
          <w:color w:val="231F20"/>
          <w:spacing w:val="13"/>
          <w:sz w:val="32"/>
          <w:szCs w:val="24"/>
        </w:rPr>
        <w:t>民经济和社会发展第十四个五年规划和</w:t>
      </w:r>
      <w:r>
        <w:rPr>
          <w:rFonts w:hint="eastAsia"/>
          <w:color w:val="231F20"/>
          <w:sz w:val="32"/>
          <w:szCs w:val="24"/>
        </w:rPr>
        <w:t>2035</w:t>
      </w:r>
      <w:r>
        <w:rPr>
          <w:rFonts w:hint="eastAsia"/>
          <w:color w:val="231F20"/>
          <w:spacing w:val="-17"/>
          <w:sz w:val="32"/>
          <w:szCs w:val="24"/>
        </w:rPr>
        <w:t xml:space="preserve"> </w:t>
      </w:r>
      <w:r>
        <w:rPr>
          <w:rFonts w:hint="default" w:ascii="楷体_GB2312" w:hAnsi="楷体_GB2312" w:eastAsia="楷体_GB2312"/>
          <w:color w:val="231F20"/>
          <w:spacing w:val="-17"/>
          <w:sz w:val="32"/>
          <w:szCs w:val="24"/>
        </w:rPr>
        <w:t>年远景目标纲要》《甘肃省“十四五”卫生健康事业发展规划</w:t>
      </w:r>
      <w:r>
        <w:rPr>
          <w:rFonts w:hint="default" w:ascii="楷体_GB2312" w:hAnsi="楷体_GB2312" w:eastAsia="楷体_GB2312"/>
          <w:color w:val="231F20"/>
          <w:spacing w:val="-34"/>
          <w:sz w:val="32"/>
          <w:szCs w:val="24"/>
        </w:rPr>
        <w:t xml:space="preserve">》《兰州新区“十四五” </w:t>
      </w:r>
      <w:r>
        <w:rPr>
          <w:rFonts w:hint="default" w:ascii="楷体_GB2312" w:hAnsi="楷体_GB2312" w:eastAsia="楷体_GB2312"/>
          <w:color w:val="231F20"/>
          <w:spacing w:val="3"/>
          <w:position w:val="1"/>
          <w:sz w:val="32"/>
          <w:szCs w:val="24"/>
        </w:rPr>
        <w:t>国民经济和社会发展规划和二</w:t>
      </w:r>
      <w:r>
        <w:rPr>
          <w:rFonts w:hint="eastAsia" w:ascii="宋体" w:hAnsi="宋体" w:eastAsia="宋体"/>
          <w:color w:val="231F20"/>
          <w:spacing w:val="3"/>
          <w:sz w:val="32"/>
          <w:szCs w:val="24"/>
        </w:rPr>
        <w:t>〇</w:t>
      </w:r>
      <w:r>
        <w:rPr>
          <w:rFonts w:hint="default" w:ascii="楷体_GB2312" w:hAnsi="楷体_GB2312" w:eastAsia="楷体_GB2312"/>
          <w:color w:val="231F20"/>
          <w:spacing w:val="2"/>
          <w:position w:val="1"/>
          <w:sz w:val="32"/>
          <w:szCs w:val="24"/>
        </w:rPr>
        <w:t>三五年远景目标纲要》等文件</w:t>
      </w:r>
      <w:r>
        <w:rPr>
          <w:rFonts w:hint="default" w:ascii="楷体_GB2312" w:hAnsi="楷体_GB2312" w:eastAsia="楷体_GB2312"/>
          <w:color w:val="231F20"/>
          <w:sz w:val="32"/>
          <w:szCs w:val="24"/>
        </w:rPr>
        <w:t>精神，结合兰州新区卫生健康工作实际，制定本规划。规划地</w:t>
      </w:r>
      <w:r>
        <w:rPr>
          <w:rFonts w:hint="default" w:ascii="楷体_GB2312" w:hAnsi="楷体_GB2312" w:eastAsia="楷体_GB2312"/>
          <w:color w:val="231F20"/>
          <w:spacing w:val="-8"/>
          <w:sz w:val="32"/>
          <w:szCs w:val="24"/>
        </w:rPr>
        <w:t>理范围为兰州新区已托管的区域</w:t>
      </w:r>
      <w:r>
        <w:rPr>
          <w:rFonts w:hint="default" w:ascii="楷体_GB2312" w:hAnsi="楷体_GB2312" w:eastAsia="楷体_GB2312"/>
          <w:color w:val="231F20"/>
          <w:sz w:val="32"/>
          <w:szCs w:val="24"/>
        </w:rPr>
        <w:t>（</w:t>
      </w:r>
      <w:r>
        <w:rPr>
          <w:rFonts w:hint="default" w:ascii="楷体_GB2312" w:hAnsi="楷体_GB2312" w:eastAsia="楷体_GB2312"/>
          <w:color w:val="231F20"/>
          <w:spacing w:val="-19"/>
          <w:sz w:val="32"/>
          <w:szCs w:val="24"/>
        </w:rPr>
        <w:t>含中川镇、秦川镇、西岔镇</w:t>
      </w:r>
      <w:r>
        <w:rPr>
          <w:rFonts w:hint="default" w:ascii="楷体_GB2312" w:hAnsi="楷体_GB2312" w:eastAsia="楷体_GB2312"/>
          <w:color w:val="231F20"/>
          <w:spacing w:val="-57"/>
          <w:sz w:val="32"/>
          <w:szCs w:val="24"/>
        </w:rPr>
        <w:t xml:space="preserve">）， </w:t>
      </w:r>
      <w:r>
        <w:rPr>
          <w:rFonts w:hint="default" w:ascii="楷体_GB2312" w:hAnsi="楷体_GB2312" w:eastAsia="楷体_GB2312"/>
          <w:color w:val="231F20"/>
          <w:spacing w:val="-14"/>
          <w:sz w:val="32"/>
          <w:szCs w:val="24"/>
        </w:rPr>
        <w:t xml:space="preserve">规划期为 </w:t>
      </w:r>
      <w:r>
        <w:rPr>
          <w:rFonts w:hint="eastAsia"/>
          <w:color w:val="231F20"/>
          <w:sz w:val="32"/>
          <w:szCs w:val="24"/>
        </w:rPr>
        <w:t>2021-2025</w:t>
      </w:r>
      <w:r>
        <w:rPr>
          <w:rFonts w:hint="eastAsia"/>
          <w:color w:val="231F20"/>
          <w:spacing w:val="-5"/>
          <w:sz w:val="32"/>
          <w:szCs w:val="24"/>
        </w:rPr>
        <w:t xml:space="preserve"> </w:t>
      </w:r>
      <w:r>
        <w:rPr>
          <w:rFonts w:hint="default" w:ascii="楷体_GB2312" w:hAnsi="楷体_GB2312" w:eastAsia="楷体_GB2312"/>
          <w:color w:val="231F20"/>
          <w:spacing w:val="-5"/>
          <w:sz w:val="32"/>
          <w:szCs w:val="24"/>
        </w:rPr>
        <w:t>年。本规划是推进兰州新区“十四五”卫</w:t>
      </w:r>
      <w:r>
        <w:rPr>
          <w:rFonts w:hint="default" w:ascii="楷体_GB2312" w:hAnsi="楷体_GB2312" w:eastAsia="楷体_GB2312"/>
          <w:color w:val="231F20"/>
          <w:spacing w:val="2"/>
          <w:sz w:val="32"/>
          <w:szCs w:val="24"/>
        </w:rPr>
        <w:t>生健康事业发展的行动纲领，是制定相关政策和安排相关项目</w:t>
      </w:r>
      <w:r>
        <w:rPr>
          <w:rFonts w:hint="default" w:ascii="楷体_GB2312" w:hAnsi="楷体_GB2312" w:eastAsia="楷体_GB2312"/>
          <w:color w:val="231F20"/>
          <w:sz w:val="32"/>
          <w:szCs w:val="24"/>
        </w:rPr>
        <w:t>投资建设的重要依据。</w:t>
      </w:r>
    </w:p>
    <w:p>
      <w:pPr>
        <w:pStyle w:val="3"/>
        <w:kinsoku w:val="0"/>
        <w:overflowPunct w:val="0"/>
        <w:spacing w:line="326" w:lineRule="auto"/>
        <w:ind w:right="115" w:hanging="160"/>
        <w:rPr>
          <w:rFonts w:hint="default" w:ascii="楷体_GB2312" w:hAnsi="楷体_GB2312" w:eastAsia="楷体_GB2312"/>
          <w:color w:val="231F20"/>
          <w:sz w:val="32"/>
          <w:szCs w:val="24"/>
        </w:rPr>
        <w:sectPr>
          <w:pgSz w:w="12250" w:h="17180"/>
          <w:pgMar w:top="1620" w:right="1480" w:bottom="280" w:left="1480" w:header="720" w:footer="720" w:gutter="0"/>
          <w:lnNumType w:countBy="0" w:distance="360"/>
          <w:cols w:space="720" w:num="1"/>
        </w:sectPr>
      </w:pPr>
    </w:p>
    <w:p>
      <w:pPr>
        <w:pStyle w:val="3"/>
        <w:kinsoku w:val="0"/>
        <w:overflowPunct w:val="0"/>
        <w:ind w:left="0"/>
        <w:rPr>
          <w:rFonts w:hint="default" w:ascii="楷体_GB2312" w:hAnsi="楷体_GB2312" w:eastAsia="楷体_GB2312"/>
          <w:sz w:val="20"/>
          <w:szCs w:val="24"/>
        </w:rPr>
      </w:pPr>
    </w:p>
    <w:p>
      <w:pPr>
        <w:pStyle w:val="3"/>
        <w:kinsoku w:val="0"/>
        <w:overflowPunct w:val="0"/>
        <w:ind w:left="0"/>
        <w:rPr>
          <w:rFonts w:hint="default" w:ascii="楷体_GB2312" w:hAnsi="楷体_GB2312" w:eastAsia="楷体_GB2312"/>
          <w:sz w:val="20"/>
          <w:szCs w:val="24"/>
        </w:rPr>
      </w:pPr>
    </w:p>
    <w:p>
      <w:pPr>
        <w:pStyle w:val="3"/>
        <w:kinsoku w:val="0"/>
        <w:overflowPunct w:val="0"/>
        <w:spacing w:before="1"/>
        <w:ind w:left="0"/>
        <w:rPr>
          <w:rFonts w:hint="default" w:ascii="楷体_GB2312" w:hAnsi="楷体_GB2312" w:eastAsia="楷体_GB2312"/>
          <w:sz w:val="23"/>
          <w:szCs w:val="24"/>
        </w:rPr>
      </w:pPr>
    </w:p>
    <w:p>
      <w:pPr>
        <w:pStyle w:val="2"/>
        <w:tabs>
          <w:tab w:val="left" w:pos="843"/>
        </w:tabs>
        <w:kinsoku w:val="0"/>
        <w:overflowPunct w:val="0"/>
        <w:spacing w:before="9"/>
        <w:rPr>
          <w:rFonts w:hint="default" w:ascii="方正黑体简体" w:hAnsi="方正黑体简体" w:eastAsia="方正黑体简体"/>
          <w:color w:val="231F20"/>
          <w:sz w:val="40"/>
          <w:szCs w:val="24"/>
        </w:rPr>
      </w:pPr>
      <w:r>
        <w:rPr>
          <w:rFonts w:hint="default" w:ascii="方正黑体简体" w:hAnsi="方正黑体简体" w:eastAsia="方正黑体简体"/>
          <w:color w:val="231F20"/>
          <w:sz w:val="40"/>
          <w:szCs w:val="24"/>
        </w:rPr>
        <w:t>目</w:t>
      </w:r>
      <w:r>
        <w:rPr>
          <w:rFonts w:hint="default" w:ascii="方正黑体简体" w:hAnsi="方正黑体简体" w:eastAsia="方正黑体简体"/>
          <w:color w:val="231F20"/>
          <w:sz w:val="40"/>
          <w:szCs w:val="24"/>
        </w:rPr>
        <w:tab/>
      </w:r>
      <w:r>
        <w:rPr>
          <w:rFonts w:hint="default" w:ascii="方正黑体简体" w:hAnsi="方正黑体简体" w:eastAsia="方正黑体简体"/>
          <w:color w:val="231F20"/>
          <w:sz w:val="40"/>
          <w:szCs w:val="24"/>
        </w:rPr>
        <w:t>录</w:t>
      </w:r>
    </w:p>
    <w:p>
      <w:pPr>
        <w:pStyle w:val="3"/>
        <w:tabs>
          <w:tab w:val="right" w:leader="dot" w:pos="9002"/>
        </w:tabs>
        <w:kinsoku w:val="0"/>
        <w:overflowPunct w:val="0"/>
        <w:spacing w:before="491"/>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第一章</w:t>
      </w:r>
      <w:r>
        <w:rPr>
          <w:rFonts w:hint="default" w:ascii="方正黑体简体" w:hAnsi="方正黑体简体" w:eastAsia="方正黑体简体"/>
          <w:color w:val="231F20"/>
          <w:spacing w:val="-1"/>
          <w:sz w:val="32"/>
          <w:szCs w:val="24"/>
        </w:rPr>
        <w:t xml:space="preserve"> </w:t>
      </w:r>
      <w:r>
        <w:rPr>
          <w:rFonts w:hint="default" w:ascii="方正黑体简体" w:hAnsi="方正黑体简体" w:eastAsia="方正黑体简体"/>
          <w:color w:val="231F20"/>
          <w:sz w:val="32"/>
          <w:szCs w:val="24"/>
        </w:rPr>
        <w:t>“十三五”期间卫生健康事业发展成就</w:t>
      </w:r>
      <w:r>
        <w:rPr>
          <w:rFonts w:hint="default" w:ascii="方正黑体简体" w:hAnsi="方正黑体简体" w:eastAsia="方正黑体简体"/>
          <w:color w:val="231F20"/>
          <w:sz w:val="32"/>
          <w:szCs w:val="24"/>
        </w:rPr>
        <w:tab/>
      </w:r>
      <w:r>
        <w:rPr>
          <w:rFonts w:hint="default" w:ascii="方正黑体简体" w:hAnsi="方正黑体简体" w:eastAsia="方正黑体简体"/>
          <w:color w:val="231F20"/>
          <w:sz w:val="32"/>
          <w:szCs w:val="24"/>
        </w:rPr>
        <w:t>1</w:t>
      </w:r>
    </w:p>
    <w:p>
      <w:pPr>
        <w:pStyle w:val="3"/>
        <w:tabs>
          <w:tab w:val="right" w:leader="dot" w:pos="8997"/>
        </w:tabs>
        <w:kinsoku w:val="0"/>
        <w:overflowPunct w:val="0"/>
        <w:spacing w:before="97"/>
        <w:ind w:left="957"/>
        <w:rPr>
          <w:rFonts w:hint="eastAsia" w:ascii="宋体" w:hAnsi="宋体" w:eastAsia="宋体"/>
          <w:color w:val="231F20"/>
          <w:sz w:val="32"/>
          <w:szCs w:val="24"/>
        </w:rPr>
      </w:pPr>
      <w:r>
        <w:rPr>
          <w:rFonts w:hint="eastAsia" w:ascii="宋体" w:hAnsi="宋体" w:eastAsia="宋体"/>
          <w:color w:val="231F20"/>
          <w:sz w:val="32"/>
          <w:szCs w:val="24"/>
        </w:rPr>
        <w:t>一、居民健康状况指标持续改善</w:t>
      </w:r>
      <w:r>
        <w:rPr>
          <w:rFonts w:hint="eastAsia" w:ascii="宋体" w:hAnsi="宋体" w:eastAsia="宋体"/>
          <w:color w:val="231F20"/>
          <w:sz w:val="32"/>
          <w:szCs w:val="24"/>
        </w:rPr>
        <w:tab/>
      </w:r>
      <w:r>
        <w:rPr>
          <w:rFonts w:hint="eastAsia" w:ascii="宋体" w:hAnsi="宋体" w:eastAsia="宋体"/>
          <w:color w:val="231F20"/>
          <w:sz w:val="32"/>
          <w:szCs w:val="24"/>
        </w:rPr>
        <w:t>1</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二、公共卫生服务能力巩固加强</w:t>
      </w:r>
      <w:r>
        <w:rPr>
          <w:rFonts w:hint="eastAsia" w:ascii="宋体" w:hAnsi="宋体" w:eastAsia="宋体"/>
          <w:color w:val="231F20"/>
          <w:sz w:val="32"/>
          <w:szCs w:val="24"/>
        </w:rPr>
        <w:tab/>
      </w:r>
      <w:r>
        <w:rPr>
          <w:rFonts w:hint="eastAsia" w:ascii="宋体" w:hAnsi="宋体" w:eastAsia="宋体"/>
          <w:color w:val="231F20"/>
          <w:sz w:val="32"/>
          <w:szCs w:val="24"/>
        </w:rPr>
        <w:t>1</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三、医疗卫生体系建设扎实推进</w:t>
      </w:r>
      <w:r>
        <w:rPr>
          <w:rFonts w:hint="eastAsia" w:ascii="宋体" w:hAnsi="宋体" w:eastAsia="宋体"/>
          <w:color w:val="231F20"/>
          <w:sz w:val="32"/>
          <w:szCs w:val="24"/>
        </w:rPr>
        <w:tab/>
      </w:r>
      <w:r>
        <w:rPr>
          <w:rFonts w:hint="eastAsia" w:ascii="宋体" w:hAnsi="宋体" w:eastAsia="宋体"/>
          <w:color w:val="231F20"/>
          <w:sz w:val="32"/>
          <w:szCs w:val="24"/>
        </w:rPr>
        <w:t>1</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四、医药卫生体制改革持续深化</w:t>
      </w:r>
      <w:r>
        <w:rPr>
          <w:rFonts w:hint="eastAsia" w:ascii="宋体" w:hAnsi="宋体" w:eastAsia="宋体"/>
          <w:color w:val="231F20"/>
          <w:sz w:val="32"/>
          <w:szCs w:val="24"/>
        </w:rPr>
        <w:tab/>
      </w:r>
      <w:r>
        <w:rPr>
          <w:rFonts w:hint="eastAsia" w:ascii="宋体" w:hAnsi="宋体" w:eastAsia="宋体"/>
          <w:color w:val="231F20"/>
          <w:sz w:val="32"/>
          <w:szCs w:val="24"/>
        </w:rPr>
        <w:t>3</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五、中医药产业与事业并举</w:t>
      </w:r>
      <w:r>
        <w:rPr>
          <w:rFonts w:hint="eastAsia" w:ascii="宋体" w:hAnsi="宋体" w:eastAsia="宋体"/>
          <w:color w:val="231F20"/>
          <w:sz w:val="32"/>
          <w:szCs w:val="24"/>
        </w:rPr>
        <w:tab/>
      </w:r>
      <w:r>
        <w:rPr>
          <w:rFonts w:hint="eastAsia" w:ascii="宋体" w:hAnsi="宋体" w:eastAsia="宋体"/>
          <w:color w:val="231F20"/>
          <w:sz w:val="32"/>
          <w:szCs w:val="24"/>
        </w:rPr>
        <w:t>4</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六、医疗服务质量及安全监管全面加强</w:t>
      </w:r>
      <w:r>
        <w:rPr>
          <w:rFonts w:hint="eastAsia" w:ascii="宋体" w:hAnsi="宋体" w:eastAsia="宋体"/>
          <w:color w:val="231F20"/>
          <w:sz w:val="32"/>
          <w:szCs w:val="24"/>
        </w:rPr>
        <w:tab/>
      </w:r>
      <w:r>
        <w:rPr>
          <w:rFonts w:hint="eastAsia" w:ascii="宋体" w:hAnsi="宋体" w:eastAsia="宋体"/>
          <w:color w:val="231F20"/>
          <w:sz w:val="32"/>
          <w:szCs w:val="24"/>
        </w:rPr>
        <w:t>4</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七、妇幼保健与家庭发展工作积极推进</w:t>
      </w:r>
      <w:r>
        <w:rPr>
          <w:rFonts w:hint="eastAsia" w:ascii="宋体" w:hAnsi="宋体" w:eastAsia="宋体"/>
          <w:color w:val="231F20"/>
          <w:sz w:val="32"/>
          <w:szCs w:val="24"/>
        </w:rPr>
        <w:tab/>
      </w:r>
      <w:r>
        <w:rPr>
          <w:rFonts w:hint="eastAsia" w:ascii="宋体" w:hAnsi="宋体" w:eastAsia="宋体"/>
          <w:color w:val="231F20"/>
          <w:sz w:val="32"/>
          <w:szCs w:val="24"/>
        </w:rPr>
        <w:t>5</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八、健康扶贫工作成效显著</w:t>
      </w:r>
      <w:r>
        <w:rPr>
          <w:rFonts w:hint="eastAsia" w:ascii="宋体" w:hAnsi="宋体" w:eastAsia="宋体"/>
          <w:color w:val="231F20"/>
          <w:sz w:val="32"/>
          <w:szCs w:val="24"/>
        </w:rPr>
        <w:tab/>
      </w:r>
      <w:r>
        <w:rPr>
          <w:rFonts w:hint="eastAsia" w:ascii="宋体" w:hAnsi="宋体" w:eastAsia="宋体"/>
          <w:color w:val="231F20"/>
          <w:sz w:val="32"/>
          <w:szCs w:val="24"/>
        </w:rPr>
        <w:t>5</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九、人才队伍建设卓有成效</w:t>
      </w:r>
      <w:r>
        <w:rPr>
          <w:rFonts w:hint="eastAsia" w:ascii="宋体" w:hAnsi="宋体" w:eastAsia="宋体"/>
          <w:color w:val="231F20"/>
          <w:sz w:val="32"/>
          <w:szCs w:val="24"/>
        </w:rPr>
        <w:tab/>
      </w:r>
      <w:r>
        <w:rPr>
          <w:rFonts w:hint="eastAsia" w:ascii="宋体" w:hAnsi="宋体" w:eastAsia="宋体"/>
          <w:color w:val="231F20"/>
          <w:sz w:val="32"/>
          <w:szCs w:val="24"/>
        </w:rPr>
        <w:t>6</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十、疫情防控与经济社会发展统筹推进</w:t>
      </w:r>
      <w:r>
        <w:rPr>
          <w:rFonts w:hint="eastAsia" w:ascii="宋体" w:hAnsi="宋体" w:eastAsia="宋体"/>
          <w:color w:val="231F20"/>
          <w:sz w:val="32"/>
          <w:szCs w:val="24"/>
        </w:rPr>
        <w:tab/>
      </w:r>
      <w:r>
        <w:rPr>
          <w:rFonts w:hint="eastAsia" w:ascii="宋体" w:hAnsi="宋体" w:eastAsia="宋体"/>
          <w:color w:val="231F20"/>
          <w:sz w:val="32"/>
          <w:szCs w:val="24"/>
        </w:rPr>
        <w:t>6</w:t>
      </w:r>
    </w:p>
    <w:p>
      <w:pPr>
        <w:pStyle w:val="3"/>
        <w:tabs>
          <w:tab w:val="right" w:leader="dot" w:pos="9002"/>
        </w:tabs>
        <w:kinsoku w:val="0"/>
        <w:overflowPunct w:val="0"/>
        <w:spacing w:before="108"/>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第二章</w:t>
      </w:r>
      <w:r>
        <w:rPr>
          <w:rFonts w:hint="default" w:ascii="方正黑体简体" w:hAnsi="方正黑体简体" w:eastAsia="方正黑体简体"/>
          <w:color w:val="231F20"/>
          <w:spacing w:val="87"/>
          <w:sz w:val="32"/>
          <w:szCs w:val="24"/>
        </w:rPr>
        <w:t xml:space="preserve"> </w:t>
      </w:r>
      <w:r>
        <w:rPr>
          <w:rFonts w:hint="default" w:ascii="方正黑体简体" w:hAnsi="方正黑体简体" w:eastAsia="方正黑体简体"/>
          <w:color w:val="231F20"/>
          <w:sz w:val="32"/>
          <w:szCs w:val="24"/>
        </w:rPr>
        <w:t>总体要求</w:t>
      </w:r>
      <w:r>
        <w:rPr>
          <w:rFonts w:hint="default" w:ascii="方正黑体简体" w:hAnsi="方正黑体简体" w:eastAsia="方正黑体简体"/>
          <w:color w:val="231F20"/>
          <w:sz w:val="32"/>
          <w:szCs w:val="24"/>
        </w:rPr>
        <w:tab/>
      </w:r>
      <w:r>
        <w:rPr>
          <w:rFonts w:hint="default" w:ascii="方正黑体简体" w:hAnsi="方正黑体简体" w:eastAsia="方正黑体简体"/>
          <w:color w:val="231F20"/>
          <w:sz w:val="32"/>
          <w:szCs w:val="24"/>
        </w:rPr>
        <w:t>9</w:t>
      </w:r>
    </w:p>
    <w:p>
      <w:pPr>
        <w:pStyle w:val="3"/>
        <w:tabs>
          <w:tab w:val="right" w:leader="dot" w:pos="8997"/>
        </w:tabs>
        <w:kinsoku w:val="0"/>
        <w:overflowPunct w:val="0"/>
        <w:spacing w:before="97"/>
        <w:ind w:left="957"/>
        <w:rPr>
          <w:rFonts w:hint="eastAsia" w:ascii="宋体" w:hAnsi="宋体" w:eastAsia="宋体"/>
          <w:color w:val="231F20"/>
          <w:sz w:val="32"/>
          <w:szCs w:val="24"/>
        </w:rPr>
      </w:pPr>
      <w:r>
        <w:rPr>
          <w:rFonts w:hint="eastAsia" w:ascii="宋体" w:hAnsi="宋体" w:eastAsia="宋体"/>
          <w:color w:val="231F20"/>
          <w:sz w:val="32"/>
          <w:szCs w:val="24"/>
        </w:rPr>
        <w:t>一、指导思想</w:t>
      </w:r>
      <w:r>
        <w:rPr>
          <w:rFonts w:hint="eastAsia" w:ascii="宋体" w:hAnsi="宋体" w:eastAsia="宋体"/>
          <w:color w:val="231F20"/>
          <w:sz w:val="32"/>
          <w:szCs w:val="24"/>
        </w:rPr>
        <w:tab/>
      </w:r>
      <w:r>
        <w:rPr>
          <w:rFonts w:hint="eastAsia" w:ascii="宋体" w:hAnsi="宋体" w:eastAsia="宋体"/>
          <w:color w:val="231F20"/>
          <w:sz w:val="32"/>
          <w:szCs w:val="24"/>
        </w:rPr>
        <w:t>9</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二、基本原则</w:t>
      </w:r>
      <w:r>
        <w:rPr>
          <w:rFonts w:hint="eastAsia" w:ascii="宋体" w:hAnsi="宋体" w:eastAsia="宋体"/>
          <w:color w:val="231F20"/>
          <w:sz w:val="32"/>
          <w:szCs w:val="24"/>
        </w:rPr>
        <w:tab/>
      </w:r>
      <w:r>
        <w:rPr>
          <w:rFonts w:hint="eastAsia" w:ascii="宋体" w:hAnsi="宋体" w:eastAsia="宋体"/>
          <w:color w:val="231F20"/>
          <w:sz w:val="32"/>
          <w:szCs w:val="24"/>
        </w:rPr>
        <w:t>9</w:t>
      </w:r>
    </w:p>
    <w:p>
      <w:pPr>
        <w:pStyle w:val="3"/>
        <w:tabs>
          <w:tab w:val="right" w:leader="dot" w:pos="8997"/>
        </w:tabs>
        <w:kinsoku w:val="0"/>
        <w:overflowPunct w:val="0"/>
        <w:spacing w:before="150"/>
        <w:ind w:left="1597"/>
        <w:rPr>
          <w:rFonts w:hint="eastAsia" w:ascii="宋体" w:hAnsi="宋体" w:eastAsia="宋体"/>
          <w:color w:val="231F20"/>
          <w:sz w:val="32"/>
          <w:szCs w:val="24"/>
        </w:rPr>
      </w:pPr>
      <w:r>
        <w:rPr>
          <w:rFonts w:hint="eastAsia"/>
          <w:color w:val="231F20"/>
          <w:sz w:val="32"/>
          <w:szCs w:val="24"/>
        </w:rPr>
        <w:t>（一）坚持以人为本，公平可及</w:t>
      </w:r>
      <w:r>
        <w:rPr>
          <w:rFonts w:hint="eastAsia"/>
          <w:color w:val="231F20"/>
          <w:sz w:val="32"/>
          <w:szCs w:val="24"/>
        </w:rPr>
        <w:tab/>
      </w:r>
      <w:r>
        <w:rPr>
          <w:rFonts w:hint="eastAsia" w:ascii="宋体" w:hAnsi="宋体" w:eastAsia="宋体"/>
          <w:color w:val="231F20"/>
          <w:sz w:val="32"/>
          <w:szCs w:val="24"/>
        </w:rPr>
        <w:t>9</w:t>
      </w:r>
    </w:p>
    <w:p>
      <w:pPr>
        <w:pStyle w:val="3"/>
        <w:tabs>
          <w:tab w:val="right" w:leader="dot" w:pos="8997"/>
        </w:tabs>
        <w:kinsoku w:val="0"/>
        <w:overflowPunct w:val="0"/>
        <w:spacing w:before="150"/>
        <w:ind w:left="1597"/>
        <w:rPr>
          <w:rFonts w:hint="eastAsia" w:ascii="宋体" w:hAnsi="宋体" w:eastAsia="宋体"/>
          <w:color w:val="231F20"/>
          <w:sz w:val="32"/>
          <w:szCs w:val="24"/>
        </w:rPr>
      </w:pPr>
      <w:r>
        <w:rPr>
          <w:rFonts w:hint="eastAsia"/>
          <w:color w:val="231F20"/>
          <w:sz w:val="32"/>
          <w:szCs w:val="24"/>
        </w:rPr>
        <w:t>（二）坚持政府主导，社会参与</w:t>
      </w:r>
      <w:r>
        <w:rPr>
          <w:rFonts w:hint="eastAsia"/>
          <w:color w:val="231F20"/>
          <w:sz w:val="32"/>
          <w:szCs w:val="24"/>
        </w:rPr>
        <w:tab/>
      </w:r>
      <w:r>
        <w:rPr>
          <w:rFonts w:hint="eastAsia" w:ascii="宋体" w:hAnsi="宋体" w:eastAsia="宋体"/>
          <w:color w:val="231F20"/>
          <w:sz w:val="32"/>
          <w:szCs w:val="24"/>
        </w:rPr>
        <w:t>9</w:t>
      </w:r>
    </w:p>
    <w:p>
      <w:pPr>
        <w:pStyle w:val="3"/>
        <w:tabs>
          <w:tab w:val="right" w:leader="dot" w:pos="8997"/>
        </w:tabs>
        <w:kinsoku w:val="0"/>
        <w:overflowPunct w:val="0"/>
        <w:spacing w:before="150"/>
        <w:ind w:left="1597"/>
        <w:rPr>
          <w:rFonts w:hint="eastAsia" w:ascii="宋体" w:hAnsi="宋体" w:eastAsia="宋体"/>
          <w:color w:val="231F20"/>
          <w:sz w:val="32"/>
          <w:szCs w:val="24"/>
        </w:rPr>
      </w:pPr>
      <w:r>
        <w:rPr>
          <w:rFonts w:hint="eastAsia"/>
          <w:color w:val="231F20"/>
          <w:sz w:val="32"/>
          <w:szCs w:val="24"/>
        </w:rPr>
        <w:t>（三）坚持统筹协调，科学发展</w:t>
      </w:r>
      <w:r>
        <w:rPr>
          <w:rFonts w:hint="eastAsia"/>
          <w:color w:val="231F20"/>
          <w:sz w:val="32"/>
          <w:szCs w:val="24"/>
        </w:rPr>
        <w:tab/>
      </w:r>
      <w:r>
        <w:rPr>
          <w:rFonts w:hint="eastAsia" w:ascii="宋体" w:hAnsi="宋体" w:eastAsia="宋体"/>
          <w:color w:val="231F20"/>
          <w:sz w:val="32"/>
          <w:szCs w:val="24"/>
        </w:rPr>
        <w:t>10</w:t>
      </w:r>
    </w:p>
    <w:p>
      <w:pPr>
        <w:pStyle w:val="3"/>
        <w:tabs>
          <w:tab w:val="right" w:leader="dot" w:pos="8997"/>
        </w:tabs>
        <w:kinsoku w:val="0"/>
        <w:overflowPunct w:val="0"/>
        <w:spacing w:before="150"/>
        <w:ind w:left="1597"/>
        <w:rPr>
          <w:rFonts w:hint="eastAsia" w:ascii="宋体" w:hAnsi="宋体" w:eastAsia="宋体"/>
          <w:color w:val="231F20"/>
          <w:sz w:val="32"/>
          <w:szCs w:val="24"/>
        </w:rPr>
      </w:pPr>
      <w:r>
        <w:rPr>
          <w:rFonts w:hint="eastAsia"/>
          <w:color w:val="231F20"/>
          <w:sz w:val="32"/>
          <w:szCs w:val="24"/>
        </w:rPr>
        <w:t>（四）坚持改革引领，创新驱动</w:t>
      </w:r>
      <w:r>
        <w:rPr>
          <w:rFonts w:hint="eastAsia"/>
          <w:color w:val="231F20"/>
          <w:sz w:val="32"/>
          <w:szCs w:val="24"/>
        </w:rPr>
        <w:tab/>
      </w:r>
      <w:r>
        <w:rPr>
          <w:rFonts w:hint="eastAsia" w:ascii="宋体" w:hAnsi="宋体" w:eastAsia="宋体"/>
          <w:color w:val="231F20"/>
          <w:sz w:val="32"/>
          <w:szCs w:val="24"/>
        </w:rPr>
        <w:t>10</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三、发展目标</w:t>
      </w:r>
      <w:r>
        <w:rPr>
          <w:rFonts w:hint="eastAsia" w:ascii="宋体" w:hAnsi="宋体" w:eastAsia="宋体"/>
          <w:color w:val="231F20"/>
          <w:sz w:val="32"/>
          <w:szCs w:val="24"/>
        </w:rPr>
        <w:tab/>
      </w:r>
      <w:r>
        <w:rPr>
          <w:rFonts w:hint="eastAsia" w:ascii="宋体" w:hAnsi="宋体" w:eastAsia="宋体"/>
          <w:color w:val="231F20"/>
          <w:sz w:val="32"/>
          <w:szCs w:val="24"/>
        </w:rPr>
        <w:t>10</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四、战略布局</w:t>
      </w:r>
      <w:r>
        <w:rPr>
          <w:rFonts w:hint="eastAsia" w:ascii="宋体" w:hAnsi="宋体" w:eastAsia="宋体"/>
          <w:color w:val="231F20"/>
          <w:sz w:val="32"/>
          <w:szCs w:val="24"/>
        </w:rPr>
        <w:tab/>
      </w:r>
      <w:r>
        <w:rPr>
          <w:rFonts w:hint="eastAsia" w:ascii="宋体" w:hAnsi="宋体" w:eastAsia="宋体"/>
          <w:color w:val="231F20"/>
          <w:sz w:val="32"/>
          <w:szCs w:val="24"/>
        </w:rPr>
        <w:t>12</w:t>
      </w:r>
    </w:p>
    <w:p>
      <w:pPr>
        <w:pStyle w:val="3"/>
        <w:tabs>
          <w:tab w:val="right" w:leader="dot" w:pos="9002"/>
        </w:tabs>
        <w:kinsoku w:val="0"/>
        <w:overflowPunct w:val="0"/>
        <w:spacing w:before="108"/>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第三章</w:t>
      </w:r>
      <w:r>
        <w:rPr>
          <w:rFonts w:hint="default" w:ascii="方正黑体简体" w:hAnsi="方正黑体简体" w:eastAsia="方正黑体简体"/>
          <w:color w:val="231F20"/>
          <w:spacing w:val="-1"/>
          <w:sz w:val="32"/>
          <w:szCs w:val="24"/>
        </w:rPr>
        <w:t xml:space="preserve"> </w:t>
      </w:r>
      <w:r>
        <w:rPr>
          <w:rFonts w:hint="default" w:ascii="方正黑体简体" w:hAnsi="方正黑体简体" w:eastAsia="方正黑体简体"/>
          <w:color w:val="231F20"/>
          <w:sz w:val="32"/>
          <w:szCs w:val="24"/>
        </w:rPr>
        <w:t>主要任务和重点项目</w:t>
      </w:r>
      <w:r>
        <w:rPr>
          <w:rFonts w:hint="default" w:ascii="方正黑体简体" w:hAnsi="方正黑体简体" w:eastAsia="方正黑体简体"/>
          <w:color w:val="231F20"/>
          <w:sz w:val="32"/>
          <w:szCs w:val="24"/>
        </w:rPr>
        <w:tab/>
      </w:r>
      <w:r>
        <w:rPr>
          <w:rFonts w:hint="default" w:ascii="方正黑体简体" w:hAnsi="方正黑体简体" w:eastAsia="方正黑体简体"/>
          <w:color w:val="231F20"/>
          <w:sz w:val="32"/>
          <w:szCs w:val="24"/>
        </w:rPr>
        <w:t>14</w:t>
      </w:r>
    </w:p>
    <w:p>
      <w:pPr>
        <w:pStyle w:val="3"/>
        <w:tabs>
          <w:tab w:val="right" w:leader="dot" w:pos="9002"/>
        </w:tabs>
        <w:kinsoku w:val="0"/>
        <w:overflowPunct w:val="0"/>
        <w:spacing w:before="108"/>
        <w:rPr>
          <w:rFonts w:hint="default" w:ascii="方正黑体简体" w:hAnsi="方正黑体简体" w:eastAsia="方正黑体简体"/>
          <w:color w:val="231F20"/>
          <w:sz w:val="32"/>
          <w:szCs w:val="24"/>
        </w:rPr>
        <w:sectPr>
          <w:pgSz w:w="12250" w:h="17180"/>
          <w:pgMar w:top="1620" w:right="1480" w:bottom="280" w:left="1480" w:header="720" w:footer="720" w:gutter="0"/>
          <w:lnNumType w:countBy="0" w:distance="360"/>
          <w:cols w:space="720" w:num="1"/>
        </w:sectPr>
      </w:pPr>
    </w:p>
    <w:p>
      <w:pPr>
        <w:pStyle w:val="3"/>
        <w:tabs>
          <w:tab w:val="right" w:leader="dot" w:pos="8997"/>
        </w:tabs>
        <w:kinsoku w:val="0"/>
        <w:overflowPunct w:val="0"/>
        <w:spacing w:before="301"/>
        <w:ind w:left="957"/>
        <w:rPr>
          <w:rFonts w:hint="eastAsia" w:ascii="宋体" w:hAnsi="宋体" w:eastAsia="宋体"/>
          <w:color w:val="231F20"/>
          <w:sz w:val="32"/>
          <w:szCs w:val="24"/>
        </w:rPr>
      </w:pPr>
      <w:r>
        <w:rPr>
          <w:rFonts w:hint="eastAsia" w:ascii="宋体" w:hAnsi="宋体" w:eastAsia="宋体"/>
          <w:color w:val="231F20"/>
          <w:sz w:val="32"/>
          <w:szCs w:val="24"/>
        </w:rPr>
        <w:t>一、稳步建设“健康新区”</w:t>
      </w:r>
      <w:r>
        <w:rPr>
          <w:rFonts w:hint="eastAsia" w:ascii="宋体" w:hAnsi="宋体" w:eastAsia="宋体"/>
          <w:color w:val="231F20"/>
          <w:sz w:val="32"/>
          <w:szCs w:val="24"/>
        </w:rPr>
        <w:tab/>
      </w:r>
      <w:r>
        <w:rPr>
          <w:rFonts w:hint="eastAsia" w:ascii="宋体" w:hAnsi="宋体" w:eastAsia="宋体"/>
          <w:color w:val="231F20"/>
          <w:sz w:val="32"/>
          <w:szCs w:val="24"/>
        </w:rPr>
        <w:t>14</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二、优化医疗卫生资源配置</w:t>
      </w:r>
      <w:r>
        <w:rPr>
          <w:rFonts w:hint="eastAsia" w:ascii="宋体" w:hAnsi="宋体" w:eastAsia="宋体"/>
          <w:color w:val="231F20"/>
          <w:sz w:val="32"/>
          <w:szCs w:val="24"/>
        </w:rPr>
        <w:tab/>
      </w:r>
      <w:r>
        <w:rPr>
          <w:rFonts w:hint="eastAsia" w:ascii="宋体" w:hAnsi="宋体" w:eastAsia="宋体"/>
          <w:color w:val="231F20"/>
          <w:sz w:val="32"/>
          <w:szCs w:val="24"/>
        </w:rPr>
        <w:t>15</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三、健全完善公共卫生服务体系</w:t>
      </w:r>
      <w:r>
        <w:rPr>
          <w:rFonts w:hint="eastAsia" w:ascii="宋体" w:hAnsi="宋体" w:eastAsia="宋体"/>
          <w:color w:val="231F20"/>
          <w:sz w:val="32"/>
          <w:szCs w:val="24"/>
        </w:rPr>
        <w:tab/>
      </w:r>
      <w:r>
        <w:rPr>
          <w:rFonts w:hint="eastAsia" w:ascii="宋体" w:hAnsi="宋体" w:eastAsia="宋体"/>
          <w:color w:val="231F20"/>
          <w:sz w:val="32"/>
          <w:szCs w:val="24"/>
        </w:rPr>
        <w:t>18</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四、深入推进医药卫生体制改革</w:t>
      </w:r>
      <w:r>
        <w:rPr>
          <w:rFonts w:hint="eastAsia" w:ascii="宋体" w:hAnsi="宋体" w:eastAsia="宋体"/>
          <w:color w:val="231F20"/>
          <w:sz w:val="32"/>
          <w:szCs w:val="24"/>
        </w:rPr>
        <w:tab/>
      </w:r>
      <w:r>
        <w:rPr>
          <w:rFonts w:hint="eastAsia" w:ascii="宋体" w:hAnsi="宋体" w:eastAsia="宋体"/>
          <w:color w:val="231F20"/>
          <w:sz w:val="32"/>
          <w:szCs w:val="24"/>
        </w:rPr>
        <w:t>22</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五、促进“一老一少”与人口高质量发展</w:t>
      </w:r>
      <w:r>
        <w:rPr>
          <w:rFonts w:hint="eastAsia" w:ascii="宋体" w:hAnsi="宋体" w:eastAsia="宋体"/>
          <w:color w:val="231F20"/>
          <w:sz w:val="32"/>
          <w:szCs w:val="24"/>
        </w:rPr>
        <w:tab/>
      </w:r>
      <w:r>
        <w:rPr>
          <w:rFonts w:hint="eastAsia" w:ascii="宋体" w:hAnsi="宋体" w:eastAsia="宋体"/>
          <w:color w:val="231F20"/>
          <w:sz w:val="32"/>
          <w:szCs w:val="24"/>
        </w:rPr>
        <w:t>24</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六、促进中医药传承创新发展</w:t>
      </w:r>
      <w:r>
        <w:rPr>
          <w:rFonts w:hint="eastAsia" w:ascii="宋体" w:hAnsi="宋体" w:eastAsia="宋体"/>
          <w:color w:val="231F20"/>
          <w:sz w:val="32"/>
          <w:szCs w:val="24"/>
        </w:rPr>
        <w:tab/>
      </w:r>
      <w:r>
        <w:rPr>
          <w:rFonts w:hint="eastAsia" w:ascii="宋体" w:hAnsi="宋体" w:eastAsia="宋体"/>
          <w:color w:val="231F20"/>
          <w:sz w:val="32"/>
          <w:szCs w:val="24"/>
        </w:rPr>
        <w:t>28</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七、完善卫生健康人才体系</w:t>
      </w:r>
      <w:r>
        <w:rPr>
          <w:rFonts w:hint="eastAsia" w:ascii="宋体" w:hAnsi="宋体" w:eastAsia="宋体"/>
          <w:color w:val="231F20"/>
          <w:sz w:val="32"/>
          <w:szCs w:val="24"/>
        </w:rPr>
        <w:tab/>
      </w:r>
      <w:r>
        <w:rPr>
          <w:rFonts w:hint="eastAsia" w:ascii="宋体" w:hAnsi="宋体" w:eastAsia="宋体"/>
          <w:color w:val="231F20"/>
          <w:sz w:val="32"/>
          <w:szCs w:val="24"/>
        </w:rPr>
        <w:t>31</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八、推进卫生健康和职业卫生法治建设</w:t>
      </w:r>
      <w:r>
        <w:rPr>
          <w:rFonts w:hint="eastAsia" w:ascii="宋体" w:hAnsi="宋体" w:eastAsia="宋体"/>
          <w:color w:val="231F20"/>
          <w:sz w:val="32"/>
          <w:szCs w:val="24"/>
        </w:rPr>
        <w:tab/>
      </w:r>
      <w:r>
        <w:rPr>
          <w:rFonts w:hint="eastAsia" w:ascii="宋体" w:hAnsi="宋体" w:eastAsia="宋体"/>
          <w:color w:val="231F20"/>
          <w:sz w:val="32"/>
          <w:szCs w:val="24"/>
        </w:rPr>
        <w:t>33</w:t>
      </w:r>
    </w:p>
    <w:p>
      <w:pPr>
        <w:pStyle w:val="3"/>
        <w:tabs>
          <w:tab w:val="right" w:leader="dot" w:pos="9002"/>
        </w:tabs>
        <w:kinsoku w:val="0"/>
        <w:overflowPunct w:val="0"/>
        <w:spacing w:before="108"/>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第四章</w:t>
      </w:r>
      <w:r>
        <w:rPr>
          <w:rFonts w:hint="default" w:ascii="方正黑体简体" w:hAnsi="方正黑体简体" w:eastAsia="方正黑体简体"/>
          <w:color w:val="231F20"/>
          <w:spacing w:val="-1"/>
          <w:sz w:val="32"/>
          <w:szCs w:val="24"/>
        </w:rPr>
        <w:t xml:space="preserve"> </w:t>
      </w:r>
      <w:r>
        <w:rPr>
          <w:rFonts w:hint="default" w:ascii="方正黑体简体" w:hAnsi="方正黑体简体" w:eastAsia="方正黑体简体"/>
          <w:color w:val="231F20"/>
          <w:sz w:val="32"/>
          <w:szCs w:val="24"/>
        </w:rPr>
        <w:t>保障措施</w:t>
      </w:r>
      <w:r>
        <w:rPr>
          <w:rFonts w:hint="default" w:ascii="方正黑体简体" w:hAnsi="方正黑体简体" w:eastAsia="方正黑体简体"/>
          <w:color w:val="231F20"/>
          <w:sz w:val="32"/>
          <w:szCs w:val="24"/>
        </w:rPr>
        <w:tab/>
      </w:r>
      <w:r>
        <w:rPr>
          <w:rFonts w:hint="default" w:ascii="方正黑体简体" w:hAnsi="方正黑体简体" w:eastAsia="方正黑体简体"/>
          <w:color w:val="231F20"/>
          <w:sz w:val="32"/>
          <w:szCs w:val="24"/>
        </w:rPr>
        <w:t>35</w:t>
      </w:r>
    </w:p>
    <w:p>
      <w:pPr>
        <w:pStyle w:val="3"/>
        <w:tabs>
          <w:tab w:val="right" w:leader="dot" w:pos="8997"/>
        </w:tabs>
        <w:kinsoku w:val="0"/>
        <w:overflowPunct w:val="0"/>
        <w:spacing w:before="97"/>
        <w:ind w:left="957"/>
        <w:rPr>
          <w:rFonts w:hint="eastAsia" w:ascii="宋体" w:hAnsi="宋体" w:eastAsia="宋体"/>
          <w:color w:val="231F20"/>
          <w:sz w:val="32"/>
          <w:szCs w:val="24"/>
        </w:rPr>
      </w:pPr>
      <w:r>
        <w:rPr>
          <w:rFonts w:hint="eastAsia" w:ascii="宋体" w:hAnsi="宋体" w:eastAsia="宋体"/>
          <w:color w:val="231F20"/>
          <w:sz w:val="32"/>
          <w:szCs w:val="24"/>
        </w:rPr>
        <w:t>一、加强组织领导</w:t>
      </w:r>
      <w:r>
        <w:rPr>
          <w:rFonts w:hint="eastAsia" w:ascii="宋体" w:hAnsi="宋体" w:eastAsia="宋体"/>
          <w:color w:val="231F20"/>
          <w:sz w:val="32"/>
          <w:szCs w:val="24"/>
        </w:rPr>
        <w:tab/>
      </w:r>
      <w:r>
        <w:rPr>
          <w:rFonts w:hint="eastAsia" w:ascii="宋体" w:hAnsi="宋体" w:eastAsia="宋体"/>
          <w:color w:val="231F20"/>
          <w:sz w:val="32"/>
          <w:szCs w:val="24"/>
        </w:rPr>
        <w:t>35</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二、完善投入机制</w:t>
      </w:r>
      <w:r>
        <w:rPr>
          <w:rFonts w:hint="eastAsia" w:ascii="宋体" w:hAnsi="宋体" w:eastAsia="宋体"/>
          <w:color w:val="231F20"/>
          <w:sz w:val="32"/>
          <w:szCs w:val="24"/>
        </w:rPr>
        <w:tab/>
      </w:r>
      <w:r>
        <w:rPr>
          <w:rFonts w:hint="eastAsia" w:ascii="宋体" w:hAnsi="宋体" w:eastAsia="宋体"/>
          <w:color w:val="231F20"/>
          <w:sz w:val="32"/>
          <w:szCs w:val="24"/>
        </w:rPr>
        <w:t>35</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三、明确工作职责</w:t>
      </w:r>
      <w:r>
        <w:rPr>
          <w:rFonts w:hint="eastAsia" w:ascii="宋体" w:hAnsi="宋体" w:eastAsia="宋体"/>
          <w:color w:val="231F20"/>
          <w:sz w:val="32"/>
          <w:szCs w:val="24"/>
        </w:rPr>
        <w:tab/>
      </w:r>
      <w:r>
        <w:rPr>
          <w:rFonts w:hint="eastAsia" w:ascii="宋体" w:hAnsi="宋体" w:eastAsia="宋体"/>
          <w:color w:val="231F20"/>
          <w:sz w:val="32"/>
          <w:szCs w:val="24"/>
        </w:rPr>
        <w:t>36</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四、实施监测评估</w:t>
      </w:r>
      <w:r>
        <w:rPr>
          <w:rFonts w:hint="eastAsia" w:ascii="宋体" w:hAnsi="宋体" w:eastAsia="宋体"/>
          <w:color w:val="231F20"/>
          <w:sz w:val="32"/>
          <w:szCs w:val="24"/>
        </w:rPr>
        <w:tab/>
      </w:r>
      <w:r>
        <w:rPr>
          <w:rFonts w:hint="eastAsia" w:ascii="宋体" w:hAnsi="宋体" w:eastAsia="宋体"/>
          <w:color w:val="231F20"/>
          <w:sz w:val="32"/>
          <w:szCs w:val="24"/>
        </w:rPr>
        <w:t>36</w:t>
      </w:r>
    </w:p>
    <w:p>
      <w:pPr>
        <w:pStyle w:val="3"/>
        <w:tabs>
          <w:tab w:val="right" w:leader="dot" w:pos="8997"/>
        </w:tabs>
        <w:kinsoku w:val="0"/>
        <w:overflowPunct w:val="0"/>
        <w:spacing w:before="150"/>
        <w:ind w:left="957"/>
        <w:rPr>
          <w:rFonts w:hint="eastAsia" w:ascii="宋体" w:hAnsi="宋体" w:eastAsia="宋体"/>
          <w:color w:val="231F20"/>
          <w:sz w:val="32"/>
          <w:szCs w:val="24"/>
        </w:rPr>
      </w:pPr>
      <w:r>
        <w:rPr>
          <w:rFonts w:hint="eastAsia" w:ascii="宋体" w:hAnsi="宋体" w:eastAsia="宋体"/>
          <w:color w:val="231F20"/>
          <w:sz w:val="32"/>
          <w:szCs w:val="24"/>
        </w:rPr>
        <w:t>五、加强党的建设</w:t>
      </w:r>
      <w:r>
        <w:rPr>
          <w:rFonts w:hint="eastAsia" w:ascii="宋体" w:hAnsi="宋体" w:eastAsia="宋体"/>
          <w:color w:val="231F20"/>
          <w:sz w:val="32"/>
          <w:szCs w:val="24"/>
        </w:rPr>
        <w:tab/>
      </w:r>
      <w:r>
        <w:rPr>
          <w:rFonts w:hint="eastAsia" w:ascii="宋体" w:hAnsi="宋体" w:eastAsia="宋体"/>
          <w:color w:val="231F20"/>
          <w:sz w:val="32"/>
          <w:szCs w:val="24"/>
        </w:rPr>
        <w:t>37</w:t>
      </w:r>
    </w:p>
    <w:p>
      <w:pPr>
        <w:pStyle w:val="3"/>
        <w:tabs>
          <w:tab w:val="right" w:leader="dot" w:pos="8997"/>
        </w:tabs>
        <w:kinsoku w:val="0"/>
        <w:overflowPunct w:val="0"/>
        <w:spacing w:before="110"/>
        <w:rPr>
          <w:rFonts w:hint="eastAsia" w:ascii="宋体" w:hAnsi="宋体" w:eastAsia="宋体"/>
          <w:color w:val="231F20"/>
          <w:w w:val="85"/>
          <w:sz w:val="32"/>
          <w:szCs w:val="24"/>
        </w:rPr>
      </w:pPr>
      <w:r>
        <w:rPr>
          <w:rFonts w:hint="default" w:ascii="方正黑体简体" w:hAnsi="方正黑体简体" w:eastAsia="方正黑体简体"/>
          <w:color w:val="231F20"/>
          <w:w w:val="85"/>
          <w:sz w:val="32"/>
          <w:szCs w:val="24"/>
        </w:rPr>
        <w:t>附件</w:t>
      </w:r>
      <w:r>
        <w:rPr>
          <w:rFonts w:hint="default" w:ascii="方正黑体简体" w:hAnsi="方正黑体简体" w:eastAsia="方正黑体简体"/>
          <w:color w:val="231F20"/>
          <w:spacing w:val="-14"/>
          <w:w w:val="85"/>
          <w:sz w:val="32"/>
          <w:szCs w:val="24"/>
        </w:rPr>
        <w:t xml:space="preserve"> </w:t>
      </w:r>
      <w:r>
        <w:rPr>
          <w:rFonts w:hint="default" w:ascii="方正黑体简体" w:hAnsi="方正黑体简体" w:eastAsia="方正黑体简体"/>
          <w:color w:val="231F20"/>
          <w:w w:val="85"/>
          <w:sz w:val="32"/>
          <w:szCs w:val="24"/>
        </w:rPr>
        <w:t>1-1</w:t>
      </w:r>
      <w:r>
        <w:rPr>
          <w:rFonts w:hint="default" w:ascii="方正黑体简体" w:hAnsi="方正黑体简体" w:eastAsia="方正黑体简体"/>
          <w:color w:val="231F20"/>
          <w:spacing w:val="-7"/>
          <w:w w:val="85"/>
          <w:sz w:val="32"/>
          <w:szCs w:val="24"/>
        </w:rPr>
        <w:t xml:space="preserve"> </w:t>
      </w:r>
      <w:r>
        <w:rPr>
          <w:rFonts w:hint="eastAsia" w:ascii="宋体" w:hAnsi="宋体" w:eastAsia="宋体"/>
          <w:color w:val="231F20"/>
          <w:w w:val="85"/>
          <w:sz w:val="32"/>
          <w:szCs w:val="24"/>
        </w:rPr>
        <w:t>兰州新区“十四五”卫生健康事业发展规划省级重点项目表</w:t>
      </w:r>
      <w:r>
        <w:rPr>
          <w:rFonts w:hint="eastAsia" w:ascii="宋体" w:hAnsi="宋体" w:eastAsia="宋体"/>
          <w:color w:val="231F20"/>
          <w:w w:val="85"/>
          <w:sz w:val="32"/>
          <w:szCs w:val="24"/>
        </w:rPr>
        <w:tab/>
      </w:r>
      <w:r>
        <w:rPr>
          <w:rFonts w:hint="eastAsia" w:ascii="宋体" w:hAnsi="宋体" w:eastAsia="宋体"/>
          <w:color w:val="231F20"/>
          <w:sz w:val="32"/>
          <w:szCs w:val="24"/>
        </w:rPr>
        <w:t>38</w:t>
      </w:r>
    </w:p>
    <w:p>
      <w:pPr>
        <w:pStyle w:val="3"/>
        <w:tabs>
          <w:tab w:val="right" w:leader="dot" w:pos="8997"/>
        </w:tabs>
        <w:kinsoku w:val="0"/>
        <w:overflowPunct w:val="0"/>
        <w:spacing w:before="55"/>
        <w:rPr>
          <w:rFonts w:hint="eastAsia" w:ascii="宋体" w:hAnsi="宋体" w:eastAsia="宋体"/>
          <w:color w:val="231F20"/>
          <w:w w:val="80"/>
          <w:sz w:val="32"/>
          <w:szCs w:val="24"/>
        </w:rPr>
      </w:pPr>
      <w:r>
        <w:rPr>
          <w:rFonts w:hint="default" w:ascii="方正黑体简体" w:hAnsi="方正黑体简体" w:eastAsia="方正黑体简体"/>
          <w:color w:val="231F20"/>
          <w:w w:val="80"/>
          <w:sz w:val="32"/>
          <w:szCs w:val="24"/>
        </w:rPr>
        <w:t>附件</w:t>
      </w:r>
      <w:r>
        <w:rPr>
          <w:rFonts w:hint="default" w:ascii="方正黑体简体" w:hAnsi="方正黑体简体" w:eastAsia="方正黑体简体"/>
          <w:color w:val="231F20"/>
          <w:spacing w:val="-3"/>
          <w:w w:val="80"/>
          <w:sz w:val="32"/>
          <w:szCs w:val="24"/>
        </w:rPr>
        <w:t xml:space="preserve"> </w:t>
      </w:r>
      <w:r>
        <w:rPr>
          <w:rFonts w:hint="default" w:ascii="方正黑体简体" w:hAnsi="方正黑体简体" w:eastAsia="方正黑体简体"/>
          <w:color w:val="231F20"/>
          <w:w w:val="80"/>
          <w:sz w:val="32"/>
          <w:szCs w:val="24"/>
        </w:rPr>
        <w:t>1-2</w:t>
      </w:r>
      <w:r>
        <w:rPr>
          <w:rFonts w:hint="default" w:ascii="方正黑体简体" w:hAnsi="方正黑体简体" w:eastAsia="方正黑体简体"/>
          <w:color w:val="231F20"/>
          <w:spacing w:val="4"/>
          <w:w w:val="80"/>
          <w:sz w:val="32"/>
          <w:szCs w:val="24"/>
        </w:rPr>
        <w:t xml:space="preserve"> </w:t>
      </w:r>
      <w:r>
        <w:rPr>
          <w:rFonts w:hint="eastAsia" w:ascii="宋体" w:hAnsi="宋体" w:eastAsia="宋体"/>
          <w:color w:val="231F20"/>
          <w:w w:val="80"/>
          <w:sz w:val="32"/>
          <w:szCs w:val="24"/>
        </w:rPr>
        <w:t>兰州新区“十四五”卫生健康事业发展规划新区投资重点项目表</w:t>
      </w:r>
      <w:r>
        <w:rPr>
          <w:rFonts w:hint="eastAsia" w:ascii="宋体" w:hAnsi="宋体" w:eastAsia="宋体"/>
          <w:color w:val="231F20"/>
          <w:w w:val="80"/>
          <w:sz w:val="32"/>
          <w:szCs w:val="24"/>
        </w:rPr>
        <w:tab/>
      </w:r>
      <w:r>
        <w:rPr>
          <w:rFonts w:hint="eastAsia" w:ascii="宋体" w:hAnsi="宋体" w:eastAsia="宋体"/>
          <w:color w:val="231F20"/>
          <w:sz w:val="32"/>
          <w:szCs w:val="24"/>
        </w:rPr>
        <w:t>39</w:t>
      </w:r>
    </w:p>
    <w:p>
      <w:pPr>
        <w:pStyle w:val="3"/>
        <w:tabs>
          <w:tab w:val="right" w:leader="dot" w:pos="8997"/>
        </w:tabs>
        <w:kinsoku w:val="0"/>
        <w:overflowPunct w:val="0"/>
        <w:spacing w:before="55"/>
        <w:rPr>
          <w:rFonts w:hint="eastAsia" w:ascii="宋体" w:hAnsi="宋体" w:eastAsia="宋体"/>
          <w:color w:val="231F20"/>
          <w:w w:val="80"/>
          <w:sz w:val="32"/>
          <w:szCs w:val="24"/>
        </w:rPr>
      </w:pPr>
      <w:r>
        <w:rPr>
          <w:rFonts w:hint="default" w:ascii="方正黑体简体" w:hAnsi="方正黑体简体" w:eastAsia="方正黑体简体"/>
          <w:color w:val="231F20"/>
          <w:w w:val="80"/>
          <w:sz w:val="32"/>
          <w:szCs w:val="24"/>
        </w:rPr>
        <w:t>附件</w:t>
      </w:r>
      <w:r>
        <w:rPr>
          <w:rFonts w:hint="default" w:ascii="方正黑体简体" w:hAnsi="方正黑体简体" w:eastAsia="方正黑体简体"/>
          <w:color w:val="231F20"/>
          <w:spacing w:val="-3"/>
          <w:w w:val="80"/>
          <w:sz w:val="32"/>
          <w:szCs w:val="24"/>
        </w:rPr>
        <w:t xml:space="preserve"> </w:t>
      </w:r>
      <w:r>
        <w:rPr>
          <w:rFonts w:hint="default" w:ascii="方正黑体简体" w:hAnsi="方正黑体简体" w:eastAsia="方正黑体简体"/>
          <w:color w:val="231F20"/>
          <w:w w:val="80"/>
          <w:sz w:val="32"/>
          <w:szCs w:val="24"/>
        </w:rPr>
        <w:t>1-3</w:t>
      </w:r>
      <w:r>
        <w:rPr>
          <w:rFonts w:hint="default" w:ascii="方正黑体简体" w:hAnsi="方正黑体简体" w:eastAsia="方正黑体简体"/>
          <w:color w:val="231F20"/>
          <w:spacing w:val="4"/>
          <w:w w:val="80"/>
          <w:sz w:val="32"/>
          <w:szCs w:val="24"/>
        </w:rPr>
        <w:t xml:space="preserve"> </w:t>
      </w:r>
      <w:r>
        <w:rPr>
          <w:rFonts w:hint="eastAsia" w:ascii="宋体" w:hAnsi="宋体" w:eastAsia="宋体"/>
          <w:color w:val="231F20"/>
          <w:w w:val="80"/>
          <w:sz w:val="32"/>
          <w:szCs w:val="24"/>
        </w:rPr>
        <w:t>兰州新区“十四五”卫生健康事业发展规划外来投资重点项目表</w:t>
      </w:r>
      <w:r>
        <w:rPr>
          <w:rFonts w:hint="eastAsia" w:ascii="宋体" w:hAnsi="宋体" w:eastAsia="宋体"/>
          <w:color w:val="231F20"/>
          <w:w w:val="80"/>
          <w:sz w:val="32"/>
          <w:szCs w:val="24"/>
        </w:rPr>
        <w:tab/>
      </w:r>
      <w:r>
        <w:rPr>
          <w:rFonts w:hint="eastAsia" w:ascii="宋体" w:hAnsi="宋体" w:eastAsia="宋体"/>
          <w:color w:val="231F20"/>
          <w:sz w:val="32"/>
          <w:szCs w:val="24"/>
        </w:rPr>
        <w:t>42</w:t>
      </w:r>
    </w:p>
    <w:p>
      <w:pPr>
        <w:pStyle w:val="3"/>
        <w:tabs>
          <w:tab w:val="right" w:leader="dot" w:pos="8997"/>
        </w:tabs>
        <w:kinsoku w:val="0"/>
        <w:overflowPunct w:val="0"/>
        <w:spacing w:before="55"/>
        <w:rPr>
          <w:rFonts w:hint="eastAsia" w:ascii="宋体" w:hAnsi="宋体" w:eastAsia="宋体"/>
          <w:color w:val="231F20"/>
          <w:sz w:val="32"/>
          <w:szCs w:val="24"/>
        </w:rPr>
      </w:pPr>
      <w:r>
        <w:rPr>
          <w:rFonts w:hint="default" w:ascii="方正黑体简体" w:hAnsi="方正黑体简体" w:eastAsia="方正黑体简体"/>
          <w:color w:val="231F20"/>
          <w:sz w:val="32"/>
          <w:szCs w:val="24"/>
        </w:rPr>
        <w:t>附件</w:t>
      </w:r>
      <w:r>
        <w:rPr>
          <w:rFonts w:hint="default" w:ascii="方正黑体简体" w:hAnsi="方正黑体简体" w:eastAsia="方正黑体简体"/>
          <w:color w:val="231F20"/>
          <w:spacing w:val="-9"/>
          <w:sz w:val="32"/>
          <w:szCs w:val="24"/>
        </w:rPr>
        <w:t xml:space="preserve"> </w:t>
      </w:r>
      <w:r>
        <w:rPr>
          <w:rFonts w:hint="default" w:ascii="方正黑体简体" w:hAnsi="方正黑体简体" w:eastAsia="方正黑体简体"/>
          <w:color w:val="231F20"/>
          <w:sz w:val="32"/>
          <w:szCs w:val="24"/>
        </w:rPr>
        <w:t>2-1</w:t>
      </w:r>
      <w:r>
        <w:rPr>
          <w:rFonts w:hint="default" w:ascii="方正黑体简体" w:hAnsi="方正黑体简体" w:eastAsia="方正黑体简体"/>
          <w:color w:val="231F20"/>
          <w:spacing w:val="-1"/>
          <w:sz w:val="32"/>
          <w:szCs w:val="24"/>
        </w:rPr>
        <w:t xml:space="preserve"> </w:t>
      </w:r>
      <w:r>
        <w:rPr>
          <w:rFonts w:hint="eastAsia" w:ascii="宋体" w:hAnsi="宋体" w:eastAsia="宋体"/>
          <w:color w:val="231F20"/>
          <w:sz w:val="32"/>
          <w:szCs w:val="24"/>
        </w:rPr>
        <w:t>“十三五”末医疗卫生资源现状分布图</w:t>
      </w:r>
      <w:r>
        <w:rPr>
          <w:rFonts w:hint="eastAsia" w:ascii="宋体" w:hAnsi="宋体" w:eastAsia="宋体"/>
          <w:color w:val="231F20"/>
          <w:sz w:val="32"/>
          <w:szCs w:val="24"/>
        </w:rPr>
        <w:tab/>
      </w:r>
      <w:r>
        <w:rPr>
          <w:rFonts w:hint="eastAsia" w:ascii="宋体" w:hAnsi="宋体" w:eastAsia="宋体"/>
          <w:color w:val="231F20"/>
          <w:sz w:val="32"/>
          <w:szCs w:val="24"/>
        </w:rPr>
        <w:t>43</w:t>
      </w:r>
    </w:p>
    <w:p>
      <w:pPr>
        <w:pStyle w:val="3"/>
        <w:tabs>
          <w:tab w:val="right" w:leader="dot" w:pos="8997"/>
        </w:tabs>
        <w:kinsoku w:val="0"/>
        <w:overflowPunct w:val="0"/>
        <w:spacing w:before="55"/>
        <w:rPr>
          <w:rFonts w:hint="eastAsia" w:ascii="宋体" w:hAnsi="宋体" w:eastAsia="宋体"/>
          <w:color w:val="231F20"/>
          <w:sz w:val="32"/>
          <w:szCs w:val="24"/>
        </w:rPr>
      </w:pPr>
      <w:r>
        <w:rPr>
          <w:rFonts w:hint="default" w:ascii="方正黑体简体" w:hAnsi="方正黑体简体" w:eastAsia="方正黑体简体"/>
          <w:color w:val="231F20"/>
          <w:sz w:val="32"/>
          <w:szCs w:val="24"/>
        </w:rPr>
        <w:t>附件</w:t>
      </w:r>
      <w:r>
        <w:rPr>
          <w:rFonts w:hint="default" w:ascii="方正黑体简体" w:hAnsi="方正黑体简体" w:eastAsia="方正黑体简体"/>
          <w:color w:val="231F20"/>
          <w:spacing w:val="-9"/>
          <w:sz w:val="32"/>
          <w:szCs w:val="24"/>
        </w:rPr>
        <w:t xml:space="preserve"> </w:t>
      </w:r>
      <w:r>
        <w:rPr>
          <w:rFonts w:hint="default" w:ascii="方正黑体简体" w:hAnsi="方正黑体简体" w:eastAsia="方正黑体简体"/>
          <w:color w:val="231F20"/>
          <w:sz w:val="32"/>
          <w:szCs w:val="24"/>
        </w:rPr>
        <w:t>2-2</w:t>
      </w:r>
      <w:r>
        <w:rPr>
          <w:rFonts w:hint="default" w:ascii="方正黑体简体" w:hAnsi="方正黑体简体" w:eastAsia="方正黑体简体"/>
          <w:color w:val="231F20"/>
          <w:spacing w:val="-1"/>
          <w:sz w:val="32"/>
          <w:szCs w:val="24"/>
        </w:rPr>
        <w:t xml:space="preserve"> </w:t>
      </w:r>
      <w:r>
        <w:rPr>
          <w:rFonts w:hint="eastAsia" w:ascii="宋体" w:hAnsi="宋体" w:eastAsia="宋体"/>
          <w:color w:val="231F20"/>
          <w:sz w:val="32"/>
          <w:szCs w:val="24"/>
        </w:rPr>
        <w:t>“十四五”医疗卫生机构建设规划图</w:t>
      </w:r>
      <w:r>
        <w:rPr>
          <w:rFonts w:hint="eastAsia" w:ascii="宋体" w:hAnsi="宋体" w:eastAsia="宋体"/>
          <w:color w:val="231F20"/>
          <w:sz w:val="32"/>
          <w:szCs w:val="24"/>
        </w:rPr>
        <w:tab/>
      </w:r>
      <w:r>
        <w:rPr>
          <w:rFonts w:hint="eastAsia" w:ascii="宋体" w:hAnsi="宋体" w:eastAsia="宋体"/>
          <w:color w:val="231F20"/>
          <w:sz w:val="32"/>
          <w:szCs w:val="24"/>
        </w:rPr>
        <w:t>44</w:t>
      </w:r>
    </w:p>
    <w:p>
      <w:pPr>
        <w:pStyle w:val="3"/>
        <w:tabs>
          <w:tab w:val="right" w:leader="dot" w:pos="8997"/>
        </w:tabs>
        <w:kinsoku w:val="0"/>
        <w:overflowPunct w:val="0"/>
        <w:spacing w:before="55"/>
        <w:rPr>
          <w:rFonts w:hint="eastAsia" w:ascii="宋体" w:hAnsi="宋体" w:eastAsia="宋体"/>
          <w:color w:val="231F20"/>
          <w:sz w:val="32"/>
          <w:szCs w:val="24"/>
        </w:rPr>
      </w:pPr>
      <w:r>
        <w:rPr>
          <w:rFonts w:hint="default" w:ascii="方正黑体简体" w:hAnsi="方正黑体简体" w:eastAsia="方正黑体简体"/>
          <w:color w:val="231F20"/>
          <w:sz w:val="32"/>
          <w:szCs w:val="24"/>
        </w:rPr>
        <w:t>附件</w:t>
      </w:r>
      <w:r>
        <w:rPr>
          <w:rFonts w:hint="default" w:ascii="方正黑体简体" w:hAnsi="方正黑体简体" w:eastAsia="方正黑体简体"/>
          <w:color w:val="231F20"/>
          <w:spacing w:val="-9"/>
          <w:sz w:val="32"/>
          <w:szCs w:val="24"/>
        </w:rPr>
        <w:t xml:space="preserve"> </w:t>
      </w:r>
      <w:r>
        <w:rPr>
          <w:rFonts w:hint="default" w:ascii="方正黑体简体" w:hAnsi="方正黑体简体" w:eastAsia="方正黑体简体"/>
          <w:color w:val="231F20"/>
          <w:sz w:val="32"/>
          <w:szCs w:val="24"/>
        </w:rPr>
        <w:t>2-3</w:t>
      </w:r>
      <w:r>
        <w:rPr>
          <w:rFonts w:hint="default" w:ascii="方正黑体简体" w:hAnsi="方正黑体简体" w:eastAsia="方正黑体简体"/>
          <w:color w:val="231F20"/>
          <w:spacing w:val="-1"/>
          <w:sz w:val="32"/>
          <w:szCs w:val="24"/>
        </w:rPr>
        <w:t xml:space="preserve"> </w:t>
      </w:r>
      <w:r>
        <w:rPr>
          <w:rFonts w:hint="eastAsia" w:ascii="宋体" w:hAnsi="宋体" w:eastAsia="宋体"/>
          <w:color w:val="231F20"/>
          <w:sz w:val="32"/>
          <w:szCs w:val="24"/>
        </w:rPr>
        <w:t>“十四五”末及远景医疗卫生资源分布图</w:t>
      </w:r>
      <w:r>
        <w:rPr>
          <w:rFonts w:hint="eastAsia" w:ascii="宋体" w:hAnsi="宋体" w:eastAsia="宋体"/>
          <w:color w:val="231F20"/>
          <w:sz w:val="32"/>
          <w:szCs w:val="24"/>
        </w:rPr>
        <w:tab/>
      </w:r>
      <w:r>
        <w:rPr>
          <w:rFonts w:hint="eastAsia" w:ascii="宋体" w:hAnsi="宋体" w:eastAsia="宋体"/>
          <w:color w:val="231F20"/>
          <w:sz w:val="32"/>
          <w:szCs w:val="24"/>
        </w:rPr>
        <w:t>45</w:t>
      </w:r>
    </w:p>
    <w:p>
      <w:pPr>
        <w:pStyle w:val="3"/>
        <w:tabs>
          <w:tab w:val="right" w:leader="dot" w:pos="8997"/>
        </w:tabs>
        <w:kinsoku w:val="0"/>
        <w:overflowPunct w:val="0"/>
        <w:spacing w:before="55"/>
        <w:rPr>
          <w:rFonts w:hint="eastAsia" w:ascii="宋体" w:hAnsi="宋体" w:eastAsia="宋体"/>
          <w:color w:val="231F20"/>
          <w:sz w:val="32"/>
          <w:szCs w:val="24"/>
        </w:rPr>
        <w:sectPr>
          <w:pgSz w:w="12250" w:h="17180"/>
          <w:pgMar w:top="1620" w:right="1480" w:bottom="280" w:left="1480" w:header="720" w:footer="720" w:gutter="0"/>
          <w:lnNumType w:countBy="0" w:distance="360"/>
          <w:cols w:space="720" w:num="1"/>
        </w:sectPr>
      </w:pPr>
    </w:p>
    <w:p>
      <w:pPr>
        <w:pStyle w:val="3"/>
        <w:kinsoku w:val="0"/>
        <w:overflowPunct w:val="0"/>
        <w:spacing w:before="4"/>
        <w:ind w:left="0"/>
        <w:rPr>
          <w:rFonts w:hint="eastAsia" w:ascii="宋体" w:hAnsi="宋体" w:eastAsia="宋体"/>
          <w:sz w:val="60"/>
          <w:szCs w:val="24"/>
        </w:rPr>
      </w:pPr>
    </w:p>
    <w:p>
      <w:pPr>
        <w:pStyle w:val="2"/>
        <w:kinsoku w:val="0"/>
        <w:overflowPunct w:val="0"/>
        <w:ind w:left="592"/>
        <w:jc w:val="left"/>
        <w:rPr>
          <w:rFonts w:hint="eastAsia"/>
          <w:color w:val="231F20"/>
          <w:sz w:val="40"/>
          <w:szCs w:val="24"/>
        </w:rPr>
      </w:pPr>
      <w:r>
        <w:rPr>
          <w:rFonts w:hint="eastAsia"/>
          <w:color w:val="231F20"/>
          <w:sz w:val="40"/>
          <w:szCs w:val="24"/>
        </w:rPr>
        <w:t>第一章 “十三五”期间卫生健康事业发展成就</w:t>
      </w:r>
    </w:p>
    <w:p>
      <w:pPr>
        <w:pStyle w:val="3"/>
        <w:kinsoku w:val="0"/>
        <w:overflowPunct w:val="0"/>
        <w:spacing w:before="5"/>
        <w:ind w:left="0"/>
        <w:rPr>
          <w:rFonts w:hint="eastAsia" w:ascii="方正小标宋简体" w:hAnsi="方正小标宋简体" w:eastAsia="方正小标宋简体"/>
          <w:sz w:val="28"/>
          <w:szCs w:val="24"/>
        </w:rPr>
      </w:pPr>
    </w:p>
    <w:p>
      <w:pPr>
        <w:pStyle w:val="3"/>
        <w:kinsoku w:val="0"/>
        <w:overflowPunct w:val="0"/>
        <w:spacing w:line="328" w:lineRule="auto"/>
        <w:ind w:right="270" w:firstLine="680"/>
        <w:jc w:val="both"/>
        <w:rPr>
          <w:rFonts w:hint="eastAsia"/>
          <w:color w:val="231F20"/>
          <w:sz w:val="32"/>
          <w:szCs w:val="24"/>
        </w:rPr>
      </w:pPr>
      <w:r>
        <w:rPr>
          <w:rFonts w:hint="eastAsia"/>
          <w:color w:val="231F20"/>
          <w:sz w:val="32"/>
          <w:szCs w:val="24"/>
        </w:rPr>
        <w:t>“十三五”时期，兰州新区贯彻落实党的十九大和十九届二中、三中、四中、五中全会精神，坚持以人民健康为中心， 全力推进卫生与健康领域制度创新、管理创新、技术创新，推动卫生健康事业全方位提质增效、深化医药卫生体制改革。新区卫生健康事业获得长足发展，人民群众健康水平显著提高， 为推进健康新区建设、全面建成小康社会奠定了坚实基础。</w:t>
      </w:r>
    </w:p>
    <w:p>
      <w:pPr>
        <w:pStyle w:val="3"/>
        <w:kinsoku w:val="0"/>
        <w:overflowPunct w:val="0"/>
        <w:spacing w:line="453"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一、居民健康状况指标持续改善</w:t>
      </w:r>
    </w:p>
    <w:p>
      <w:pPr>
        <w:pStyle w:val="3"/>
        <w:kinsoku w:val="0"/>
        <w:overflowPunct w:val="0"/>
        <w:spacing w:before="97" w:line="328" w:lineRule="auto"/>
        <w:ind w:right="260" w:firstLine="680"/>
        <w:jc w:val="both"/>
        <w:rPr>
          <w:rFonts w:hint="eastAsia"/>
          <w:color w:val="231F20"/>
          <w:sz w:val="32"/>
          <w:szCs w:val="24"/>
        </w:rPr>
      </w:pPr>
      <w:r>
        <w:rPr>
          <w:rFonts w:hint="eastAsia"/>
          <w:color w:val="231F20"/>
          <w:sz w:val="32"/>
          <w:szCs w:val="24"/>
        </w:rPr>
        <w:t>“十三五”时期，新区卫生健康事业加速发展，人民健康水平持续提高，居民主要健康指标总体上达到国家平均水平， 其中婴儿死亡率≤ 10‰，5 岁以下儿童死亡率≤ 13‰，新区“十三五”卫生健康事业有关规划确定的主要目标和任务基本完成。</w:t>
      </w:r>
    </w:p>
    <w:p>
      <w:pPr>
        <w:pStyle w:val="3"/>
        <w:kinsoku w:val="0"/>
        <w:overflowPunct w:val="0"/>
        <w:spacing w:line="455"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二、公共卫生服务能力巩固加强</w:t>
      </w:r>
    </w:p>
    <w:p>
      <w:pPr>
        <w:pStyle w:val="3"/>
        <w:kinsoku w:val="0"/>
        <w:overflowPunct w:val="0"/>
        <w:spacing w:before="97" w:line="328" w:lineRule="auto"/>
        <w:ind w:right="268" w:firstLine="680"/>
        <w:jc w:val="both"/>
        <w:rPr>
          <w:rFonts w:hint="eastAsia"/>
          <w:color w:val="231F20"/>
          <w:sz w:val="32"/>
          <w:szCs w:val="24"/>
        </w:rPr>
      </w:pPr>
      <w:r>
        <w:rPr>
          <w:rFonts w:hint="eastAsia"/>
          <w:color w:val="231F20"/>
          <w:sz w:val="32"/>
          <w:szCs w:val="24"/>
        </w:rPr>
        <w:t>“十三五”期间，新区基本公共卫生服务人均经费补助标</w:t>
      </w:r>
      <w:r>
        <w:rPr>
          <w:rFonts w:hint="eastAsia"/>
          <w:color w:val="231F20"/>
          <w:spacing w:val="-25"/>
          <w:sz w:val="32"/>
          <w:szCs w:val="24"/>
        </w:rPr>
        <w:t xml:space="preserve">准从 </w:t>
      </w:r>
      <w:r>
        <w:rPr>
          <w:rFonts w:hint="eastAsia"/>
          <w:color w:val="231F20"/>
          <w:sz w:val="32"/>
          <w:szCs w:val="24"/>
        </w:rPr>
        <w:t>40</w:t>
      </w:r>
      <w:r>
        <w:rPr>
          <w:rFonts w:hint="eastAsia"/>
          <w:color w:val="231F20"/>
          <w:spacing w:val="-24"/>
          <w:sz w:val="32"/>
          <w:szCs w:val="24"/>
        </w:rPr>
        <w:t xml:space="preserve"> 元提高到 </w:t>
      </w:r>
      <w:r>
        <w:rPr>
          <w:rFonts w:hint="eastAsia"/>
          <w:color w:val="231F20"/>
          <w:sz w:val="32"/>
          <w:szCs w:val="24"/>
        </w:rPr>
        <w:t>74</w:t>
      </w:r>
      <w:r>
        <w:rPr>
          <w:rFonts w:hint="eastAsia"/>
          <w:color w:val="231F20"/>
          <w:spacing w:val="-14"/>
          <w:sz w:val="32"/>
          <w:szCs w:val="24"/>
        </w:rPr>
        <w:t xml:space="preserve"> 元，服务内容增加到 </w:t>
      </w:r>
      <w:r>
        <w:rPr>
          <w:rFonts w:hint="eastAsia"/>
          <w:color w:val="231F20"/>
          <w:sz w:val="32"/>
          <w:szCs w:val="24"/>
        </w:rPr>
        <w:t>33</w:t>
      </w:r>
      <w:r>
        <w:rPr>
          <w:rFonts w:hint="eastAsia"/>
          <w:color w:val="231F20"/>
          <w:spacing w:val="-53"/>
          <w:sz w:val="32"/>
          <w:szCs w:val="24"/>
        </w:rPr>
        <w:t xml:space="preserve"> 类 </w:t>
      </w:r>
      <w:r>
        <w:rPr>
          <w:rFonts w:hint="eastAsia"/>
          <w:color w:val="231F20"/>
          <w:sz w:val="32"/>
          <w:szCs w:val="24"/>
        </w:rPr>
        <w:t>74</w:t>
      </w:r>
      <w:r>
        <w:rPr>
          <w:rFonts w:hint="eastAsia"/>
          <w:color w:val="231F20"/>
          <w:spacing w:val="-11"/>
          <w:sz w:val="32"/>
          <w:szCs w:val="24"/>
        </w:rPr>
        <w:t xml:space="preserve"> 项，基本覆</w:t>
      </w:r>
      <w:r>
        <w:rPr>
          <w:rFonts w:hint="eastAsia"/>
          <w:color w:val="231F20"/>
          <w:sz w:val="32"/>
          <w:szCs w:val="24"/>
        </w:rPr>
        <w:t>盖全体居民全生命周期。建立了覆盖城乡的慢性病防控体系， 高血压、糖尿病等慢性非传染性疾病管理逐步规范，严重精神</w:t>
      </w:r>
      <w:r>
        <w:rPr>
          <w:rFonts w:hint="eastAsia"/>
          <w:color w:val="231F20"/>
          <w:spacing w:val="-8"/>
          <w:sz w:val="32"/>
          <w:szCs w:val="24"/>
        </w:rPr>
        <w:t xml:space="preserve">障碍患者健康管理率达 </w:t>
      </w:r>
      <w:r>
        <w:rPr>
          <w:rFonts w:hint="eastAsia"/>
          <w:color w:val="231F20"/>
          <w:sz w:val="32"/>
          <w:szCs w:val="24"/>
        </w:rPr>
        <w:t>98.74%，艾滋病追踪管理大幅提高，肺</w:t>
      </w:r>
      <w:r>
        <w:rPr>
          <w:rFonts w:hint="eastAsia"/>
          <w:color w:val="231F20"/>
          <w:spacing w:val="-6"/>
          <w:sz w:val="32"/>
          <w:szCs w:val="24"/>
        </w:rPr>
        <w:t xml:space="preserve">结核病人追踪到位率 </w:t>
      </w:r>
      <w:r>
        <w:rPr>
          <w:rFonts w:hint="eastAsia"/>
          <w:color w:val="231F20"/>
          <w:sz w:val="32"/>
          <w:szCs w:val="24"/>
        </w:rPr>
        <w:t>90%</w:t>
      </w:r>
      <w:r>
        <w:rPr>
          <w:rFonts w:hint="eastAsia"/>
          <w:color w:val="231F20"/>
          <w:spacing w:val="-7"/>
          <w:sz w:val="32"/>
          <w:szCs w:val="24"/>
        </w:rPr>
        <w:t xml:space="preserve"> 以上，国家免疫规划疫苗接种率达到</w:t>
      </w:r>
      <w:r>
        <w:rPr>
          <w:rFonts w:hint="eastAsia"/>
          <w:color w:val="231F20"/>
          <w:sz w:val="32"/>
          <w:szCs w:val="24"/>
        </w:rPr>
        <w:t>92.8%，</w:t>
      </w:r>
      <w:r>
        <w:rPr>
          <w:rFonts w:hint="eastAsia"/>
          <w:color w:val="231F20"/>
          <w:spacing w:val="-5"/>
          <w:sz w:val="32"/>
          <w:szCs w:val="24"/>
        </w:rPr>
        <w:t xml:space="preserve">重大传染病报告率、及时率均达到 </w:t>
      </w:r>
      <w:r>
        <w:rPr>
          <w:rFonts w:hint="eastAsia"/>
          <w:color w:val="231F20"/>
          <w:sz w:val="32"/>
          <w:szCs w:val="24"/>
        </w:rPr>
        <w:t>100%。</w:t>
      </w:r>
    </w:p>
    <w:p>
      <w:pPr>
        <w:pStyle w:val="3"/>
        <w:kinsoku w:val="0"/>
        <w:overflowPunct w:val="0"/>
        <w:spacing w:line="451"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三、医疗卫生体系建设扎实推进</w:t>
      </w:r>
    </w:p>
    <w:p>
      <w:pPr>
        <w:pStyle w:val="3"/>
        <w:kinsoku w:val="0"/>
        <w:overflowPunct w:val="0"/>
        <w:spacing w:line="451" w:lineRule="exact"/>
        <w:ind w:left="957"/>
        <w:rPr>
          <w:rFonts w:hint="default" w:ascii="方正黑体简体" w:hAnsi="方正黑体简体" w:eastAsia="方正黑体简体"/>
          <w:color w:val="231F20"/>
          <w:sz w:val="32"/>
          <w:szCs w:val="24"/>
        </w:rPr>
        <w:sectPr>
          <w:footerReference r:id="rId3" w:type="default"/>
          <w:pgSz w:w="12250" w:h="17180"/>
          <w:pgMar w:top="1620" w:right="1480" w:bottom="1640" w:left="1480" w:header="0" w:footer="1444" w:gutter="0"/>
          <w:lnNumType w:countBy="0" w:distance="360"/>
          <w:pgNumType w:start="1"/>
          <w:cols w:space="720" w:num="1"/>
        </w:sectPr>
      </w:pPr>
    </w:p>
    <w:p>
      <w:pPr>
        <w:pStyle w:val="3"/>
        <w:kinsoku w:val="0"/>
        <w:overflowPunct w:val="0"/>
        <w:spacing w:before="9"/>
        <w:ind w:left="0"/>
        <w:rPr>
          <w:rFonts w:hint="default" w:ascii="方正黑体简体" w:hAnsi="方正黑体简体" w:eastAsia="方正黑体简体"/>
          <w:sz w:val="15"/>
          <w:szCs w:val="24"/>
        </w:rPr>
      </w:pPr>
    </w:p>
    <w:p>
      <w:pPr>
        <w:pStyle w:val="3"/>
        <w:kinsoku w:val="0"/>
        <w:overflowPunct w:val="0"/>
        <w:spacing w:before="55"/>
        <w:ind w:left="0" w:right="271"/>
        <w:jc w:val="right"/>
        <w:rPr>
          <w:rFonts w:hint="eastAsia"/>
          <w:color w:val="231F20"/>
          <w:spacing w:val="-7"/>
          <w:sz w:val="32"/>
          <w:szCs w:val="24"/>
        </w:rPr>
      </w:pPr>
      <w:r>
        <w:rPr>
          <w:rFonts w:hint="eastAsia"/>
          <w:color w:val="231F20"/>
          <w:spacing w:val="-6"/>
          <w:sz w:val="32"/>
          <w:szCs w:val="24"/>
        </w:rPr>
        <w:t xml:space="preserve">“十三五”以前，新区从仅有 </w:t>
      </w:r>
      <w:r>
        <w:rPr>
          <w:rFonts w:hint="eastAsia"/>
          <w:color w:val="231F20"/>
          <w:sz w:val="32"/>
          <w:szCs w:val="24"/>
        </w:rPr>
        <w:t>3</w:t>
      </w:r>
      <w:r>
        <w:rPr>
          <w:rFonts w:hint="eastAsia"/>
          <w:color w:val="231F20"/>
          <w:spacing w:val="-7"/>
          <w:sz w:val="32"/>
          <w:szCs w:val="24"/>
        </w:rPr>
        <w:t xml:space="preserve"> 所乡镇卫生院，住院床位</w:t>
      </w:r>
    </w:p>
    <w:p>
      <w:pPr>
        <w:pStyle w:val="3"/>
        <w:kinsoku w:val="0"/>
        <w:overflowPunct w:val="0"/>
        <w:spacing w:before="150"/>
        <w:ind w:left="0" w:right="276"/>
        <w:jc w:val="right"/>
        <w:rPr>
          <w:rFonts w:hint="eastAsia"/>
          <w:color w:val="231F20"/>
          <w:spacing w:val="-28"/>
          <w:sz w:val="32"/>
          <w:szCs w:val="24"/>
        </w:rPr>
      </w:pPr>
      <w:r>
        <w:rPr>
          <w:rFonts w:hint="eastAsia"/>
          <w:color w:val="231F20"/>
          <w:spacing w:val="-3"/>
          <w:sz w:val="32"/>
          <w:szCs w:val="24"/>
        </w:rPr>
        <w:t>70</w:t>
      </w:r>
      <w:r>
        <w:rPr>
          <w:rFonts w:hint="eastAsia"/>
          <w:color w:val="231F20"/>
          <w:spacing w:val="-13"/>
          <w:sz w:val="32"/>
          <w:szCs w:val="24"/>
        </w:rPr>
        <w:t xml:space="preserve"> 张，经过五年的建设发展，建成二级综合性公立医院 </w:t>
      </w:r>
      <w:r>
        <w:rPr>
          <w:rFonts w:hint="eastAsia"/>
          <w:color w:val="231F20"/>
          <w:sz w:val="32"/>
          <w:szCs w:val="24"/>
        </w:rPr>
        <w:t>1</w:t>
      </w:r>
      <w:r>
        <w:rPr>
          <w:rFonts w:hint="eastAsia"/>
          <w:color w:val="231F20"/>
          <w:spacing w:val="-28"/>
          <w:sz w:val="32"/>
          <w:szCs w:val="24"/>
        </w:rPr>
        <w:t xml:space="preserve"> 家，</w:t>
      </w:r>
    </w:p>
    <w:p>
      <w:pPr>
        <w:pStyle w:val="3"/>
        <w:kinsoku w:val="0"/>
        <w:overflowPunct w:val="0"/>
        <w:spacing w:before="150"/>
        <w:ind w:left="0" w:right="270"/>
        <w:jc w:val="right"/>
        <w:rPr>
          <w:rFonts w:hint="eastAsia"/>
          <w:color w:val="231F20"/>
          <w:spacing w:val="4"/>
          <w:sz w:val="32"/>
          <w:szCs w:val="24"/>
        </w:rPr>
      </w:pPr>
      <w:r>
        <w:rPr>
          <w:rFonts w:hint="eastAsia"/>
          <w:color w:val="231F20"/>
          <w:spacing w:val="-5"/>
          <w:sz w:val="32"/>
          <w:szCs w:val="24"/>
        </w:rPr>
        <w:t xml:space="preserve">新建和改扩建综合门诊部 </w:t>
      </w:r>
      <w:r>
        <w:rPr>
          <w:rFonts w:hint="eastAsia"/>
          <w:color w:val="231F20"/>
          <w:sz w:val="32"/>
          <w:szCs w:val="24"/>
        </w:rPr>
        <w:t>1</w:t>
      </w:r>
      <w:r>
        <w:rPr>
          <w:rFonts w:hint="eastAsia"/>
          <w:color w:val="231F20"/>
          <w:spacing w:val="-11"/>
          <w:sz w:val="32"/>
          <w:szCs w:val="24"/>
        </w:rPr>
        <w:t xml:space="preserve"> 家、乡镇卫生院</w:t>
      </w:r>
      <w:r>
        <w:rPr>
          <w:rFonts w:hint="eastAsia"/>
          <w:color w:val="231F20"/>
          <w:spacing w:val="4"/>
          <w:sz w:val="32"/>
          <w:szCs w:val="24"/>
        </w:rPr>
        <w:t>（含社区卫生服务</w:t>
      </w:r>
    </w:p>
    <w:p>
      <w:pPr>
        <w:pStyle w:val="3"/>
        <w:kinsoku w:val="0"/>
        <w:overflowPunct w:val="0"/>
        <w:spacing w:before="150"/>
        <w:ind w:left="0" w:right="275"/>
        <w:jc w:val="right"/>
        <w:rPr>
          <w:rFonts w:hint="eastAsia"/>
          <w:color w:val="231F20"/>
          <w:spacing w:val="-29"/>
          <w:sz w:val="32"/>
          <w:szCs w:val="24"/>
        </w:rPr>
      </w:pPr>
      <w:r>
        <w:rPr>
          <w:rFonts w:hint="eastAsia"/>
          <w:color w:val="231F20"/>
          <w:spacing w:val="7"/>
          <w:sz w:val="32"/>
          <w:szCs w:val="24"/>
        </w:rPr>
        <w:t>中心</w:t>
      </w:r>
      <w:r>
        <w:rPr>
          <w:rFonts w:hint="eastAsia"/>
          <w:color w:val="231F20"/>
          <w:spacing w:val="-3"/>
          <w:sz w:val="32"/>
          <w:szCs w:val="24"/>
        </w:rPr>
        <w:t>）3</w:t>
      </w:r>
      <w:r>
        <w:rPr>
          <w:rFonts w:hint="eastAsia"/>
          <w:color w:val="231F20"/>
          <w:spacing w:val="-9"/>
          <w:sz w:val="32"/>
          <w:szCs w:val="24"/>
        </w:rPr>
        <w:t xml:space="preserve"> 家、社区卫生服务中心 </w:t>
      </w:r>
      <w:r>
        <w:rPr>
          <w:rFonts w:hint="eastAsia"/>
          <w:color w:val="231F20"/>
          <w:sz w:val="32"/>
          <w:szCs w:val="24"/>
        </w:rPr>
        <w:t>3</w:t>
      </w:r>
      <w:r>
        <w:rPr>
          <w:rFonts w:hint="eastAsia"/>
          <w:color w:val="231F20"/>
          <w:spacing w:val="-11"/>
          <w:sz w:val="32"/>
          <w:szCs w:val="24"/>
        </w:rPr>
        <w:t xml:space="preserve"> 家、社区卫生服务站 </w:t>
      </w:r>
      <w:r>
        <w:rPr>
          <w:rFonts w:hint="eastAsia"/>
          <w:color w:val="231F20"/>
          <w:sz w:val="32"/>
          <w:szCs w:val="24"/>
        </w:rPr>
        <w:t>6</w:t>
      </w:r>
      <w:r>
        <w:rPr>
          <w:rFonts w:hint="eastAsia"/>
          <w:color w:val="231F20"/>
          <w:spacing w:val="-29"/>
          <w:sz w:val="32"/>
          <w:szCs w:val="24"/>
        </w:rPr>
        <w:t xml:space="preserve"> 家，</w:t>
      </w:r>
    </w:p>
    <w:p>
      <w:pPr>
        <w:pStyle w:val="3"/>
        <w:kinsoku w:val="0"/>
        <w:overflowPunct w:val="0"/>
        <w:spacing w:before="150" w:line="328" w:lineRule="auto"/>
        <w:ind w:right="120"/>
        <w:rPr>
          <w:rFonts w:hint="eastAsia"/>
          <w:color w:val="231F20"/>
          <w:spacing w:val="-32"/>
          <w:sz w:val="32"/>
          <w:szCs w:val="24"/>
        </w:rPr>
      </w:pPr>
      <w:r>
        <w:rPr>
          <w:rFonts w:hint="eastAsia"/>
          <w:color w:val="231F20"/>
          <w:spacing w:val="-3"/>
          <w:sz w:val="32"/>
          <w:szCs w:val="24"/>
        </w:rPr>
        <w:t>38</w:t>
      </w:r>
      <w:r>
        <w:rPr>
          <w:rFonts w:hint="eastAsia"/>
          <w:color w:val="231F20"/>
          <w:spacing w:val="-9"/>
          <w:sz w:val="32"/>
          <w:szCs w:val="24"/>
        </w:rPr>
        <w:t xml:space="preserve"> 家村卫生室实现乡村一体化“七统一”管理；设立新区疾病</w:t>
      </w:r>
      <w:r>
        <w:rPr>
          <w:rFonts w:hint="eastAsia"/>
          <w:color w:val="231F20"/>
          <w:spacing w:val="5"/>
          <w:sz w:val="32"/>
          <w:szCs w:val="24"/>
        </w:rPr>
        <w:t>预防控制中心并独立运行；</w:t>
      </w:r>
      <w:r>
        <w:rPr>
          <w:rFonts w:hint="eastAsia"/>
          <w:color w:val="231F20"/>
          <w:spacing w:val="-3"/>
          <w:sz w:val="32"/>
          <w:szCs w:val="24"/>
        </w:rPr>
        <w:t>3</w:t>
      </w:r>
      <w:r>
        <w:rPr>
          <w:rFonts w:hint="eastAsia"/>
          <w:color w:val="231F20"/>
          <w:spacing w:val="-2"/>
          <w:sz w:val="32"/>
          <w:szCs w:val="24"/>
        </w:rPr>
        <w:t xml:space="preserve"> 个园区分别设立卫生健康行政管</w:t>
      </w:r>
      <w:r>
        <w:rPr>
          <w:rFonts w:hint="eastAsia"/>
          <w:color w:val="231F20"/>
          <w:spacing w:val="-22"/>
          <w:sz w:val="32"/>
          <w:szCs w:val="24"/>
        </w:rPr>
        <w:t>理部门；甘肃卫生职业学院、兰州现代职业学院均设立附属医院。</w:t>
      </w:r>
      <w:r>
        <w:rPr>
          <w:rFonts w:hint="eastAsia"/>
          <w:color w:val="231F20"/>
          <w:spacing w:val="-43"/>
          <w:sz w:val="32"/>
          <w:szCs w:val="24"/>
        </w:rPr>
        <w:t xml:space="preserve">至 </w:t>
      </w:r>
      <w:r>
        <w:rPr>
          <w:rFonts w:hint="eastAsia"/>
          <w:color w:val="231F20"/>
          <w:spacing w:val="-4"/>
          <w:sz w:val="32"/>
          <w:szCs w:val="24"/>
        </w:rPr>
        <w:t>2020</w:t>
      </w:r>
      <w:r>
        <w:rPr>
          <w:rFonts w:hint="eastAsia"/>
          <w:color w:val="231F20"/>
          <w:spacing w:val="-19"/>
          <w:sz w:val="32"/>
          <w:szCs w:val="24"/>
        </w:rPr>
        <w:t xml:space="preserve"> 年底，已完成建设并投入使用公立医疗机构 </w:t>
      </w:r>
      <w:r>
        <w:rPr>
          <w:rFonts w:hint="eastAsia"/>
          <w:color w:val="231F20"/>
          <w:spacing w:val="-3"/>
          <w:sz w:val="32"/>
          <w:szCs w:val="24"/>
        </w:rPr>
        <w:t>11</w:t>
      </w:r>
      <w:r>
        <w:rPr>
          <w:rFonts w:hint="eastAsia"/>
          <w:color w:val="231F20"/>
          <w:spacing w:val="-32"/>
          <w:sz w:val="32"/>
          <w:szCs w:val="24"/>
        </w:rPr>
        <w:t xml:space="preserve"> 家。</w:t>
      </w:r>
    </w:p>
    <w:p>
      <w:pPr>
        <w:pStyle w:val="3"/>
        <w:kinsoku w:val="0"/>
        <w:overflowPunct w:val="0"/>
        <w:spacing w:line="456" w:lineRule="exact"/>
        <w:ind w:left="0"/>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兰州新区 2020 年公立医疗机构一览表</w:t>
      </w:r>
    </w:p>
    <w:p>
      <w:pPr>
        <w:pStyle w:val="3"/>
        <w:kinsoku w:val="0"/>
        <w:overflowPunct w:val="0"/>
        <w:spacing w:before="7"/>
        <w:ind w:left="0"/>
        <w:rPr>
          <w:rFonts w:hint="default" w:ascii="方正黑体简体" w:hAnsi="方正黑体简体" w:eastAsia="方正黑体简体"/>
          <w:sz w:val="8"/>
          <w:szCs w:val="24"/>
        </w:rPr>
      </w:pPr>
    </w:p>
    <w:tbl>
      <w:tblPr>
        <w:tblStyle w:val="4"/>
        <w:tblW w:w="0" w:type="auto"/>
        <w:tblInd w:w="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6"/>
        <w:gridCol w:w="850"/>
        <w:gridCol w:w="1156"/>
        <w:gridCol w:w="850"/>
        <w:gridCol w:w="850"/>
        <w:gridCol w:w="850"/>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1" w:hRule="atLeast"/>
        </w:trPr>
        <w:tc>
          <w:tcPr>
            <w:tcW w:w="3326"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34"/>
              <w:ind w:left="170" w:right="152"/>
              <w:jc w:val="center"/>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医疗机构名称</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4"/>
              <w:ind w:left="95" w:right="68"/>
              <w:jc w:val="center"/>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级别</w:t>
            </w:r>
          </w:p>
        </w:tc>
        <w:tc>
          <w:tcPr>
            <w:tcW w:w="1156"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4"/>
              <w:ind w:left="39" w:right="11"/>
              <w:jc w:val="center"/>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成立时间</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4"/>
              <w:ind w:left="97" w:right="68"/>
              <w:jc w:val="center"/>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床位数</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65" w:line="182" w:lineRule="auto"/>
              <w:ind w:left="222" w:right="85" w:hanging="105"/>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配备医师数</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65" w:line="182" w:lineRule="auto"/>
              <w:ind w:left="222" w:right="85" w:hanging="105"/>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配备护士数</w:t>
            </w:r>
          </w:p>
        </w:tc>
        <w:tc>
          <w:tcPr>
            <w:tcW w:w="850"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65" w:line="182" w:lineRule="auto"/>
              <w:ind w:left="223" w:right="77" w:hanging="105"/>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服务人口数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9"/>
              <w:ind w:left="170" w:right="152"/>
              <w:jc w:val="center"/>
              <w:rPr>
                <w:rFonts w:hint="eastAsia"/>
                <w:color w:val="231F20"/>
                <w:sz w:val="21"/>
                <w:szCs w:val="24"/>
              </w:rPr>
            </w:pPr>
            <w:r>
              <w:rPr>
                <w:rFonts w:hint="eastAsia"/>
                <w:color w:val="231F20"/>
                <w:sz w:val="21"/>
                <w:szCs w:val="24"/>
              </w:rPr>
              <w:t>新区第一人民医院</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二级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2018.12</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350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119</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right="242"/>
              <w:jc w:val="right"/>
              <w:rPr>
                <w:rFonts w:hint="eastAsia"/>
                <w:color w:val="231F20"/>
                <w:sz w:val="21"/>
                <w:szCs w:val="24"/>
              </w:rPr>
            </w:pPr>
            <w:r>
              <w:rPr>
                <w:rFonts w:hint="eastAsia"/>
                <w:color w:val="231F20"/>
                <w:sz w:val="21"/>
                <w:szCs w:val="24"/>
              </w:rPr>
              <w:t>164</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92"/>
              <w:rPr>
                <w:rFonts w:hint="eastAsia"/>
                <w:color w:val="231F20"/>
                <w:sz w:val="21"/>
                <w:szCs w:val="24"/>
              </w:rPr>
            </w:pPr>
            <w:r>
              <w:rPr>
                <w:rFonts w:hint="eastAsia"/>
                <w:color w:val="231F20"/>
                <w:sz w:val="21"/>
                <w:szCs w:val="24"/>
              </w:rPr>
              <w:t>28.8 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43" w:line="261" w:lineRule="exact"/>
              <w:ind w:left="170" w:right="152"/>
              <w:jc w:val="center"/>
              <w:rPr>
                <w:rFonts w:hint="eastAsia"/>
                <w:color w:val="231F20"/>
                <w:sz w:val="21"/>
                <w:szCs w:val="24"/>
              </w:rPr>
            </w:pPr>
            <w:r>
              <w:rPr>
                <w:rFonts w:hint="eastAsia"/>
                <w:color w:val="231F20"/>
                <w:sz w:val="21"/>
                <w:szCs w:val="24"/>
              </w:rPr>
              <w:t>西岔综合门诊部</w:t>
            </w:r>
          </w:p>
          <w:p>
            <w:pPr>
              <w:pStyle w:val="6"/>
              <w:kinsoku w:val="0"/>
              <w:overflowPunct w:val="0"/>
              <w:spacing w:line="261" w:lineRule="exact"/>
              <w:ind w:left="170" w:right="152"/>
              <w:jc w:val="center"/>
              <w:rPr>
                <w:rFonts w:hint="eastAsia"/>
                <w:color w:val="231F20"/>
                <w:sz w:val="21"/>
                <w:szCs w:val="24"/>
              </w:rPr>
            </w:pPr>
            <w:r>
              <w:rPr>
                <w:rFonts w:hint="eastAsia"/>
                <w:color w:val="231F20"/>
                <w:sz w:val="21"/>
                <w:szCs w:val="24"/>
              </w:rPr>
              <w:t>（兰州现代职业学院附属医院）</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2020.6</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60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18</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right="295"/>
              <w:jc w:val="right"/>
              <w:rPr>
                <w:rFonts w:hint="eastAsia"/>
                <w:color w:val="231F20"/>
                <w:sz w:val="21"/>
                <w:szCs w:val="24"/>
              </w:rPr>
            </w:pPr>
            <w:r>
              <w:rPr>
                <w:rFonts w:hint="eastAsia"/>
                <w:color w:val="231F20"/>
                <w:sz w:val="21"/>
                <w:szCs w:val="24"/>
              </w:rPr>
              <w:t>24</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255" w:right="164"/>
              <w:jc w:val="center"/>
              <w:rPr>
                <w:rFonts w:hint="eastAsia"/>
                <w:color w:val="231F20"/>
                <w:spacing w:val="-53"/>
                <w:sz w:val="21"/>
                <w:szCs w:val="24"/>
              </w:rPr>
            </w:pPr>
            <w:r>
              <w:rPr>
                <w:rFonts w:hint="eastAsia"/>
                <w:color w:val="231F20"/>
                <w:spacing w:val="52"/>
                <w:sz w:val="21"/>
                <w:szCs w:val="24"/>
              </w:rPr>
              <w:t>8</w:t>
            </w:r>
            <w:r>
              <w:rPr>
                <w:rFonts w:hint="eastAsia"/>
                <w:color w:val="231F20"/>
                <w:sz w:val="21"/>
                <w:szCs w:val="24"/>
              </w:rPr>
              <w:t>万</w:t>
            </w:r>
            <w:r>
              <w:rPr>
                <w:rFonts w:hint="eastAsia"/>
                <w:color w:val="231F20"/>
                <w:spacing w:val="-53"/>
                <w:sz w:val="21"/>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9"/>
              <w:ind w:left="170" w:right="152"/>
              <w:jc w:val="center"/>
              <w:rPr>
                <w:rFonts w:hint="eastAsia"/>
                <w:color w:val="231F20"/>
                <w:sz w:val="21"/>
                <w:szCs w:val="24"/>
              </w:rPr>
            </w:pPr>
            <w:r>
              <w:rPr>
                <w:rFonts w:hint="eastAsia"/>
                <w:color w:val="231F20"/>
                <w:sz w:val="21"/>
                <w:szCs w:val="24"/>
              </w:rPr>
              <w:t>栖霞社区卫生服务中心</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2020.8</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20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29"/>
              <w:jc w:val="center"/>
              <w:rPr>
                <w:rFonts w:hint="eastAsia"/>
                <w:color w:val="231F20"/>
                <w:sz w:val="21"/>
                <w:szCs w:val="24"/>
              </w:rPr>
            </w:pPr>
            <w:r>
              <w:rPr>
                <w:rFonts w:hint="eastAsia"/>
                <w:color w:val="231F20"/>
                <w:sz w:val="21"/>
                <w:szCs w:val="24"/>
              </w:rPr>
              <w:t>5</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0"/>
              <w:jc w:val="center"/>
              <w:rPr>
                <w:rFonts w:hint="eastAsia"/>
                <w:color w:val="231F20"/>
                <w:sz w:val="21"/>
                <w:szCs w:val="24"/>
              </w:rPr>
            </w:pPr>
            <w:r>
              <w:rPr>
                <w:rFonts w:hint="eastAsia"/>
                <w:color w:val="231F20"/>
                <w:sz w:val="21"/>
                <w:szCs w:val="24"/>
              </w:rPr>
              <w:t>7</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255" w:right="164"/>
              <w:jc w:val="center"/>
              <w:rPr>
                <w:rFonts w:hint="eastAsia"/>
                <w:color w:val="231F20"/>
                <w:spacing w:val="-53"/>
                <w:sz w:val="21"/>
                <w:szCs w:val="24"/>
              </w:rPr>
            </w:pPr>
            <w:r>
              <w:rPr>
                <w:rFonts w:hint="eastAsia"/>
                <w:color w:val="231F20"/>
                <w:spacing w:val="52"/>
                <w:sz w:val="21"/>
                <w:szCs w:val="24"/>
              </w:rPr>
              <w:t>8</w:t>
            </w:r>
            <w:r>
              <w:rPr>
                <w:rFonts w:hint="eastAsia"/>
                <w:color w:val="231F20"/>
                <w:sz w:val="21"/>
                <w:szCs w:val="24"/>
              </w:rPr>
              <w:t>万</w:t>
            </w:r>
            <w:r>
              <w:rPr>
                <w:rFonts w:hint="eastAsia"/>
                <w:color w:val="231F20"/>
                <w:spacing w:val="-53"/>
                <w:sz w:val="21"/>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1" w:hRule="atLeast"/>
        </w:trPr>
        <w:tc>
          <w:tcPr>
            <w:tcW w:w="3326"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spacing w:before="169"/>
              <w:ind w:left="170" w:right="152"/>
              <w:jc w:val="center"/>
              <w:rPr>
                <w:rFonts w:hint="eastAsia"/>
                <w:color w:val="231F20"/>
                <w:sz w:val="21"/>
                <w:szCs w:val="24"/>
              </w:rPr>
            </w:pPr>
            <w:r>
              <w:rPr>
                <w:rFonts w:hint="eastAsia"/>
                <w:color w:val="231F20"/>
                <w:sz w:val="21"/>
                <w:szCs w:val="24"/>
              </w:rPr>
              <w:t>新安社区卫生服务中心</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2020.4</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48</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11</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9"/>
              <w:ind w:right="295"/>
              <w:jc w:val="right"/>
              <w:rPr>
                <w:rFonts w:hint="eastAsia"/>
                <w:color w:val="231F20"/>
                <w:sz w:val="21"/>
                <w:szCs w:val="24"/>
              </w:rPr>
            </w:pPr>
            <w:r>
              <w:rPr>
                <w:rFonts w:hint="eastAsia"/>
                <w:color w:val="231F20"/>
                <w:sz w:val="21"/>
                <w:szCs w:val="24"/>
              </w:rPr>
              <w:t>15</w:t>
            </w:r>
          </w:p>
        </w:tc>
        <w:tc>
          <w:tcPr>
            <w:tcW w:w="850"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spacing w:before="169"/>
              <w:ind w:left="144"/>
              <w:rPr>
                <w:rFonts w:hint="eastAsia"/>
                <w:color w:val="231F20"/>
                <w:sz w:val="21"/>
                <w:szCs w:val="24"/>
              </w:rPr>
            </w:pPr>
            <w:r>
              <w:rPr>
                <w:rFonts w:hint="eastAsia"/>
                <w:color w:val="231F20"/>
                <w:sz w:val="21"/>
                <w:szCs w:val="24"/>
              </w:rPr>
              <w:t>1.3 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1" w:hRule="atLeast"/>
        </w:trPr>
        <w:tc>
          <w:tcPr>
            <w:tcW w:w="3326"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2"/>
              <w:ind w:left="170" w:right="152"/>
              <w:jc w:val="center"/>
              <w:rPr>
                <w:rFonts w:hint="eastAsia"/>
                <w:color w:val="231F20"/>
                <w:sz w:val="21"/>
                <w:szCs w:val="24"/>
              </w:rPr>
            </w:pPr>
            <w:r>
              <w:rPr>
                <w:rFonts w:hint="eastAsia"/>
                <w:color w:val="231F20"/>
                <w:sz w:val="21"/>
                <w:szCs w:val="24"/>
              </w:rPr>
              <w:t>瑞岭雅苑社区卫生服务中心</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2"/>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2"/>
              <w:ind w:left="39" w:right="11"/>
              <w:jc w:val="center"/>
              <w:rPr>
                <w:rFonts w:hint="eastAsia"/>
                <w:color w:val="231F20"/>
                <w:sz w:val="21"/>
                <w:szCs w:val="24"/>
              </w:rPr>
            </w:pPr>
            <w:r>
              <w:rPr>
                <w:rFonts w:hint="eastAsia"/>
                <w:color w:val="231F20"/>
                <w:sz w:val="21"/>
                <w:szCs w:val="24"/>
              </w:rPr>
              <w:t>2018.11</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2"/>
              <w:ind w:left="97" w:right="68"/>
              <w:jc w:val="center"/>
              <w:rPr>
                <w:rFonts w:hint="eastAsia"/>
                <w:color w:val="231F20"/>
                <w:sz w:val="21"/>
                <w:szCs w:val="24"/>
              </w:rPr>
            </w:pPr>
            <w:r>
              <w:rPr>
                <w:rFonts w:hint="eastAsia"/>
                <w:color w:val="231F20"/>
                <w:sz w:val="21"/>
                <w:szCs w:val="24"/>
              </w:rPr>
              <w:t>20</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2"/>
              <w:ind w:left="97" w:right="68"/>
              <w:jc w:val="center"/>
              <w:rPr>
                <w:rFonts w:hint="eastAsia"/>
                <w:color w:val="231F20"/>
                <w:sz w:val="21"/>
                <w:szCs w:val="24"/>
              </w:rPr>
            </w:pPr>
            <w:r>
              <w:rPr>
                <w:rFonts w:hint="eastAsia"/>
                <w:color w:val="231F20"/>
                <w:sz w:val="21"/>
                <w:szCs w:val="24"/>
              </w:rPr>
              <w:t>24</w:t>
            </w:r>
          </w:p>
        </w:tc>
        <w:tc>
          <w:tcPr>
            <w:tcW w:w="85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2"/>
              <w:ind w:right="295"/>
              <w:jc w:val="right"/>
              <w:rPr>
                <w:rFonts w:hint="eastAsia"/>
                <w:color w:val="231F20"/>
                <w:sz w:val="21"/>
                <w:szCs w:val="24"/>
              </w:rPr>
            </w:pPr>
            <w:r>
              <w:rPr>
                <w:rFonts w:hint="eastAsia"/>
                <w:color w:val="231F20"/>
                <w:sz w:val="21"/>
                <w:szCs w:val="24"/>
              </w:rPr>
              <w:t>23</w:t>
            </w:r>
          </w:p>
        </w:tc>
        <w:tc>
          <w:tcPr>
            <w:tcW w:w="850"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2"/>
              <w:ind w:left="144"/>
              <w:rPr>
                <w:rFonts w:hint="eastAsia"/>
                <w:color w:val="231F20"/>
                <w:sz w:val="21"/>
                <w:szCs w:val="24"/>
              </w:rPr>
            </w:pPr>
            <w:r>
              <w:rPr>
                <w:rFonts w:hint="eastAsia"/>
                <w:color w:val="231F20"/>
                <w:sz w:val="21"/>
                <w:szCs w:val="24"/>
              </w:rPr>
              <w:t>4.8 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43" w:line="261" w:lineRule="exact"/>
              <w:ind w:left="170" w:right="152"/>
              <w:jc w:val="center"/>
              <w:rPr>
                <w:rFonts w:hint="eastAsia"/>
                <w:color w:val="231F20"/>
                <w:sz w:val="21"/>
                <w:szCs w:val="24"/>
              </w:rPr>
            </w:pPr>
            <w:r>
              <w:rPr>
                <w:rFonts w:hint="eastAsia"/>
                <w:color w:val="231F20"/>
                <w:sz w:val="21"/>
                <w:szCs w:val="24"/>
              </w:rPr>
              <w:t>中川卫生院</w:t>
            </w:r>
          </w:p>
          <w:p>
            <w:pPr>
              <w:pStyle w:val="6"/>
              <w:kinsoku w:val="0"/>
              <w:overflowPunct w:val="0"/>
              <w:spacing w:line="261" w:lineRule="exact"/>
              <w:ind w:left="170" w:right="152"/>
              <w:jc w:val="center"/>
              <w:rPr>
                <w:rFonts w:hint="eastAsia"/>
                <w:color w:val="231F20"/>
                <w:sz w:val="21"/>
                <w:szCs w:val="24"/>
              </w:rPr>
            </w:pPr>
            <w:r>
              <w:rPr>
                <w:rFonts w:hint="eastAsia"/>
                <w:color w:val="231F20"/>
                <w:sz w:val="21"/>
                <w:szCs w:val="24"/>
              </w:rPr>
              <w:t>（彩虹城社区卫生服务中心）</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新区成立前</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10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25</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right="295"/>
              <w:jc w:val="right"/>
              <w:rPr>
                <w:rFonts w:hint="eastAsia"/>
                <w:color w:val="231F20"/>
                <w:sz w:val="21"/>
                <w:szCs w:val="24"/>
              </w:rPr>
            </w:pPr>
            <w:r>
              <w:rPr>
                <w:rFonts w:hint="eastAsia"/>
                <w:color w:val="231F20"/>
                <w:sz w:val="21"/>
                <w:szCs w:val="24"/>
              </w:rPr>
              <w:t>23</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255" w:right="164"/>
              <w:jc w:val="center"/>
              <w:rPr>
                <w:rFonts w:hint="eastAsia"/>
                <w:color w:val="231F20"/>
                <w:spacing w:val="-53"/>
                <w:sz w:val="21"/>
                <w:szCs w:val="24"/>
              </w:rPr>
            </w:pPr>
            <w:r>
              <w:rPr>
                <w:rFonts w:hint="eastAsia"/>
                <w:color w:val="231F20"/>
                <w:spacing w:val="52"/>
                <w:sz w:val="21"/>
                <w:szCs w:val="24"/>
              </w:rPr>
              <w:t>4</w:t>
            </w:r>
            <w:r>
              <w:rPr>
                <w:rFonts w:hint="eastAsia"/>
                <w:color w:val="231F20"/>
                <w:sz w:val="21"/>
                <w:szCs w:val="24"/>
              </w:rPr>
              <w:t>万</w:t>
            </w:r>
            <w:r>
              <w:rPr>
                <w:rFonts w:hint="eastAsia"/>
                <w:color w:val="231F20"/>
                <w:spacing w:val="-53"/>
                <w:sz w:val="21"/>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43" w:line="261" w:lineRule="exact"/>
              <w:ind w:left="170" w:right="152"/>
              <w:jc w:val="center"/>
              <w:rPr>
                <w:rFonts w:hint="eastAsia"/>
                <w:color w:val="231F20"/>
                <w:sz w:val="21"/>
                <w:szCs w:val="24"/>
              </w:rPr>
            </w:pPr>
            <w:r>
              <w:rPr>
                <w:rFonts w:hint="eastAsia"/>
                <w:color w:val="231F20"/>
                <w:sz w:val="21"/>
                <w:szCs w:val="24"/>
              </w:rPr>
              <w:t>西岔中心卫生院</w:t>
            </w:r>
          </w:p>
          <w:p>
            <w:pPr>
              <w:pStyle w:val="6"/>
              <w:kinsoku w:val="0"/>
              <w:overflowPunct w:val="0"/>
              <w:spacing w:line="261" w:lineRule="exact"/>
              <w:ind w:left="170" w:right="152"/>
              <w:jc w:val="center"/>
              <w:rPr>
                <w:rFonts w:hint="eastAsia"/>
                <w:color w:val="231F20"/>
                <w:sz w:val="21"/>
                <w:szCs w:val="24"/>
              </w:rPr>
            </w:pPr>
            <w:r>
              <w:rPr>
                <w:rFonts w:hint="eastAsia"/>
                <w:color w:val="231F20"/>
                <w:sz w:val="21"/>
                <w:szCs w:val="24"/>
              </w:rPr>
              <w:t>（文曲社区卫生服务中心）</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新区成立前</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20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32</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right="295"/>
              <w:jc w:val="right"/>
              <w:rPr>
                <w:rFonts w:hint="eastAsia"/>
                <w:color w:val="231F20"/>
                <w:sz w:val="21"/>
                <w:szCs w:val="24"/>
              </w:rPr>
            </w:pPr>
            <w:r>
              <w:rPr>
                <w:rFonts w:hint="eastAsia"/>
                <w:color w:val="231F20"/>
                <w:sz w:val="21"/>
                <w:szCs w:val="24"/>
              </w:rPr>
              <w:t>39</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255" w:right="164"/>
              <w:jc w:val="center"/>
              <w:rPr>
                <w:rFonts w:hint="eastAsia"/>
                <w:color w:val="231F20"/>
                <w:spacing w:val="-53"/>
                <w:sz w:val="21"/>
                <w:szCs w:val="24"/>
              </w:rPr>
            </w:pPr>
            <w:r>
              <w:rPr>
                <w:rFonts w:hint="eastAsia"/>
                <w:color w:val="231F20"/>
                <w:spacing w:val="52"/>
                <w:sz w:val="21"/>
                <w:szCs w:val="24"/>
              </w:rPr>
              <w:t>6</w:t>
            </w:r>
            <w:r>
              <w:rPr>
                <w:rFonts w:hint="eastAsia"/>
                <w:color w:val="231F20"/>
                <w:sz w:val="21"/>
                <w:szCs w:val="24"/>
              </w:rPr>
              <w:t>万</w:t>
            </w:r>
            <w:r>
              <w:rPr>
                <w:rFonts w:hint="eastAsia"/>
                <w:color w:val="231F20"/>
                <w:spacing w:val="-53"/>
                <w:sz w:val="21"/>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43" w:line="261" w:lineRule="exact"/>
              <w:ind w:left="170" w:right="152"/>
              <w:jc w:val="center"/>
              <w:rPr>
                <w:rFonts w:hint="eastAsia"/>
                <w:color w:val="231F20"/>
                <w:sz w:val="21"/>
                <w:szCs w:val="24"/>
              </w:rPr>
            </w:pPr>
            <w:r>
              <w:rPr>
                <w:rFonts w:hint="eastAsia"/>
                <w:color w:val="231F20"/>
                <w:sz w:val="21"/>
                <w:szCs w:val="24"/>
              </w:rPr>
              <w:t>秦川中心卫生院</w:t>
            </w:r>
          </w:p>
          <w:p>
            <w:pPr>
              <w:pStyle w:val="6"/>
              <w:kinsoku w:val="0"/>
              <w:overflowPunct w:val="0"/>
              <w:spacing w:line="261" w:lineRule="exact"/>
              <w:ind w:left="170" w:right="152"/>
              <w:jc w:val="center"/>
              <w:rPr>
                <w:rFonts w:hint="eastAsia"/>
                <w:color w:val="231F20"/>
                <w:sz w:val="21"/>
                <w:szCs w:val="24"/>
              </w:rPr>
            </w:pPr>
            <w:r>
              <w:rPr>
                <w:rFonts w:hint="eastAsia"/>
                <w:color w:val="231F20"/>
                <w:sz w:val="21"/>
                <w:szCs w:val="24"/>
              </w:rPr>
              <w:t>（新区第一人民医院秦川医院）</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新区成立前</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40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31</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right="295"/>
              <w:jc w:val="right"/>
              <w:rPr>
                <w:rFonts w:hint="eastAsia"/>
                <w:color w:val="231F20"/>
                <w:sz w:val="21"/>
                <w:szCs w:val="24"/>
              </w:rPr>
            </w:pPr>
            <w:r>
              <w:rPr>
                <w:rFonts w:hint="eastAsia"/>
                <w:color w:val="231F20"/>
                <w:sz w:val="21"/>
                <w:szCs w:val="24"/>
              </w:rPr>
              <w:t>26</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255" w:right="164"/>
              <w:jc w:val="center"/>
              <w:rPr>
                <w:rFonts w:hint="eastAsia"/>
                <w:color w:val="231F20"/>
                <w:spacing w:val="-53"/>
                <w:sz w:val="21"/>
                <w:szCs w:val="24"/>
              </w:rPr>
            </w:pPr>
            <w:r>
              <w:rPr>
                <w:rFonts w:hint="eastAsia"/>
                <w:color w:val="231F20"/>
                <w:spacing w:val="52"/>
                <w:sz w:val="21"/>
                <w:szCs w:val="24"/>
              </w:rPr>
              <w:t>6</w:t>
            </w:r>
            <w:r>
              <w:rPr>
                <w:rFonts w:hint="eastAsia"/>
                <w:color w:val="231F20"/>
                <w:sz w:val="21"/>
                <w:szCs w:val="24"/>
              </w:rPr>
              <w:t>万</w:t>
            </w:r>
            <w:r>
              <w:rPr>
                <w:rFonts w:hint="eastAsia"/>
                <w:color w:val="231F20"/>
                <w:spacing w:val="-53"/>
                <w:sz w:val="21"/>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9"/>
              <w:ind w:left="170" w:right="152"/>
              <w:jc w:val="center"/>
              <w:rPr>
                <w:rFonts w:hint="eastAsia"/>
                <w:color w:val="231F20"/>
                <w:sz w:val="21"/>
                <w:szCs w:val="24"/>
              </w:rPr>
            </w:pPr>
            <w:r>
              <w:rPr>
                <w:rFonts w:hint="eastAsia"/>
                <w:color w:val="231F20"/>
                <w:sz w:val="21"/>
                <w:szCs w:val="24"/>
              </w:rPr>
              <w:t>甘肃卫生职业学院附属医院</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2020.7</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60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44</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right="295"/>
              <w:jc w:val="right"/>
              <w:rPr>
                <w:rFonts w:hint="eastAsia"/>
                <w:color w:val="231F20"/>
                <w:sz w:val="21"/>
                <w:szCs w:val="24"/>
              </w:rPr>
            </w:pPr>
            <w:r>
              <w:rPr>
                <w:rFonts w:hint="eastAsia"/>
                <w:color w:val="231F20"/>
                <w:sz w:val="21"/>
                <w:szCs w:val="24"/>
              </w:rPr>
              <w:t>43</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255" w:right="164"/>
              <w:jc w:val="center"/>
              <w:rPr>
                <w:rFonts w:hint="eastAsia"/>
                <w:color w:val="231F20"/>
                <w:spacing w:val="-53"/>
                <w:sz w:val="21"/>
                <w:szCs w:val="24"/>
              </w:rPr>
            </w:pPr>
            <w:r>
              <w:rPr>
                <w:rFonts w:hint="eastAsia"/>
                <w:color w:val="231F20"/>
                <w:spacing w:val="52"/>
                <w:sz w:val="21"/>
                <w:szCs w:val="24"/>
              </w:rPr>
              <w:t>6</w:t>
            </w:r>
            <w:r>
              <w:rPr>
                <w:rFonts w:hint="eastAsia"/>
                <w:color w:val="231F20"/>
                <w:sz w:val="21"/>
                <w:szCs w:val="24"/>
              </w:rPr>
              <w:t>万</w:t>
            </w:r>
            <w:r>
              <w:rPr>
                <w:rFonts w:hint="eastAsia"/>
                <w:color w:val="231F20"/>
                <w:spacing w:val="-53"/>
                <w:sz w:val="21"/>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trPr>
        <w:tc>
          <w:tcPr>
            <w:tcW w:w="3326"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9"/>
              <w:ind w:left="170" w:right="152"/>
              <w:jc w:val="center"/>
              <w:rPr>
                <w:rFonts w:hint="eastAsia"/>
                <w:color w:val="231F20"/>
                <w:sz w:val="21"/>
                <w:szCs w:val="24"/>
              </w:rPr>
            </w:pPr>
            <w:r>
              <w:rPr>
                <w:rFonts w:hint="eastAsia"/>
                <w:color w:val="231F20"/>
                <w:sz w:val="21"/>
                <w:szCs w:val="24"/>
              </w:rPr>
              <w:t>省残联辅助器具康复中心</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39" w:right="11"/>
              <w:jc w:val="center"/>
              <w:rPr>
                <w:rFonts w:hint="eastAsia"/>
                <w:color w:val="231F20"/>
                <w:sz w:val="21"/>
                <w:szCs w:val="24"/>
              </w:rPr>
            </w:pPr>
            <w:r>
              <w:rPr>
                <w:rFonts w:hint="eastAsia"/>
                <w:color w:val="231F20"/>
                <w:sz w:val="21"/>
                <w:szCs w:val="24"/>
              </w:rPr>
              <w:t>2018.9</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100</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left="97" w:right="68"/>
              <w:jc w:val="center"/>
              <w:rPr>
                <w:rFonts w:hint="eastAsia"/>
                <w:color w:val="231F20"/>
                <w:sz w:val="21"/>
                <w:szCs w:val="24"/>
              </w:rPr>
            </w:pPr>
            <w:r>
              <w:rPr>
                <w:rFonts w:hint="eastAsia"/>
                <w:color w:val="231F20"/>
                <w:sz w:val="21"/>
                <w:szCs w:val="24"/>
              </w:rPr>
              <w:t>64</w:t>
            </w:r>
          </w:p>
        </w:tc>
        <w:tc>
          <w:tcPr>
            <w:tcW w:w="8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9"/>
              <w:ind w:right="295"/>
              <w:jc w:val="right"/>
              <w:rPr>
                <w:rFonts w:hint="eastAsia"/>
                <w:color w:val="231F20"/>
                <w:sz w:val="21"/>
                <w:szCs w:val="24"/>
              </w:rPr>
            </w:pPr>
            <w:r>
              <w:rPr>
                <w:rFonts w:hint="eastAsia"/>
                <w:color w:val="231F20"/>
                <w:sz w:val="21"/>
                <w:szCs w:val="24"/>
              </w:rPr>
              <w:t>52</w:t>
            </w:r>
          </w:p>
        </w:tc>
        <w:tc>
          <w:tcPr>
            <w:tcW w:w="85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9"/>
              <w:ind w:left="255" w:right="164"/>
              <w:jc w:val="center"/>
              <w:rPr>
                <w:rFonts w:hint="eastAsia"/>
                <w:color w:val="231F20"/>
                <w:spacing w:val="-53"/>
                <w:sz w:val="21"/>
                <w:szCs w:val="24"/>
              </w:rPr>
            </w:pPr>
            <w:r>
              <w:rPr>
                <w:rFonts w:hint="eastAsia"/>
                <w:color w:val="231F20"/>
                <w:spacing w:val="52"/>
                <w:sz w:val="21"/>
                <w:szCs w:val="24"/>
              </w:rPr>
              <w:t>3</w:t>
            </w:r>
            <w:r>
              <w:rPr>
                <w:rFonts w:hint="eastAsia"/>
                <w:color w:val="231F20"/>
                <w:sz w:val="21"/>
                <w:szCs w:val="24"/>
              </w:rPr>
              <w:t>万</w:t>
            </w:r>
            <w:r>
              <w:rPr>
                <w:rFonts w:hint="eastAsia"/>
                <w:color w:val="231F20"/>
                <w:spacing w:val="-53"/>
                <w:sz w:val="21"/>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7" w:hRule="atLeast"/>
        </w:trPr>
        <w:tc>
          <w:tcPr>
            <w:tcW w:w="3326"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spacing w:before="10"/>
              <w:rPr>
                <w:rFonts w:hint="default" w:ascii="方正黑体简体" w:hAnsi="方正黑体简体" w:eastAsia="方正黑体简体"/>
                <w:sz w:val="16"/>
                <w:szCs w:val="24"/>
              </w:rPr>
            </w:pPr>
          </w:p>
          <w:p>
            <w:pPr>
              <w:pStyle w:val="6"/>
              <w:kinsoku w:val="0"/>
              <w:overflowPunct w:val="0"/>
              <w:ind w:left="170" w:right="152"/>
              <w:jc w:val="center"/>
              <w:rPr>
                <w:rFonts w:hint="eastAsia"/>
                <w:color w:val="231F20"/>
                <w:sz w:val="21"/>
                <w:szCs w:val="24"/>
              </w:rPr>
            </w:pPr>
            <w:r>
              <w:rPr>
                <w:rFonts w:hint="eastAsia"/>
                <w:color w:val="231F20"/>
                <w:sz w:val="21"/>
                <w:szCs w:val="24"/>
              </w:rPr>
              <w:t>省残联听力语言康复中心</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0"/>
              <w:rPr>
                <w:rFonts w:hint="default" w:ascii="方正黑体简体" w:hAnsi="方正黑体简体" w:eastAsia="方正黑体简体"/>
                <w:sz w:val="16"/>
                <w:szCs w:val="24"/>
              </w:rPr>
            </w:pPr>
          </w:p>
          <w:p>
            <w:pPr>
              <w:pStyle w:val="6"/>
              <w:kinsoku w:val="0"/>
              <w:overflowPunct w:val="0"/>
              <w:ind w:left="95" w:right="68"/>
              <w:jc w:val="center"/>
              <w:rPr>
                <w:rFonts w:hint="eastAsia"/>
                <w:color w:val="231F20"/>
                <w:sz w:val="21"/>
                <w:szCs w:val="24"/>
              </w:rPr>
            </w:pPr>
            <w:r>
              <w:rPr>
                <w:rFonts w:hint="eastAsia"/>
                <w:color w:val="231F20"/>
                <w:sz w:val="21"/>
                <w:szCs w:val="24"/>
              </w:rPr>
              <w:t>一级</w:t>
            </w:r>
          </w:p>
        </w:tc>
        <w:tc>
          <w:tcPr>
            <w:tcW w:w="115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0"/>
              <w:rPr>
                <w:rFonts w:hint="default" w:ascii="方正黑体简体" w:hAnsi="方正黑体简体" w:eastAsia="方正黑体简体"/>
                <w:sz w:val="16"/>
                <w:szCs w:val="24"/>
              </w:rPr>
            </w:pPr>
          </w:p>
          <w:p>
            <w:pPr>
              <w:pStyle w:val="6"/>
              <w:kinsoku w:val="0"/>
              <w:overflowPunct w:val="0"/>
              <w:ind w:left="39" w:right="11"/>
              <w:jc w:val="center"/>
              <w:rPr>
                <w:rFonts w:hint="eastAsia"/>
                <w:color w:val="231F20"/>
                <w:sz w:val="21"/>
                <w:szCs w:val="24"/>
              </w:rPr>
            </w:pPr>
            <w:r>
              <w:rPr>
                <w:rFonts w:hint="eastAsia"/>
                <w:color w:val="231F20"/>
                <w:sz w:val="21"/>
                <w:szCs w:val="24"/>
              </w:rPr>
              <w:t>2016.4</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0"/>
              <w:rPr>
                <w:rFonts w:hint="default" w:ascii="方正黑体简体" w:hAnsi="方正黑体简体" w:eastAsia="方正黑体简体"/>
                <w:sz w:val="16"/>
                <w:szCs w:val="24"/>
              </w:rPr>
            </w:pPr>
          </w:p>
          <w:p>
            <w:pPr>
              <w:pStyle w:val="6"/>
              <w:kinsoku w:val="0"/>
              <w:overflowPunct w:val="0"/>
              <w:ind w:left="97" w:right="68"/>
              <w:jc w:val="center"/>
              <w:rPr>
                <w:rFonts w:hint="eastAsia"/>
                <w:color w:val="231F20"/>
                <w:sz w:val="21"/>
                <w:szCs w:val="24"/>
              </w:rPr>
            </w:pPr>
            <w:r>
              <w:rPr>
                <w:rFonts w:hint="eastAsia"/>
                <w:color w:val="231F20"/>
                <w:sz w:val="21"/>
                <w:szCs w:val="24"/>
              </w:rPr>
              <w:t>230</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0"/>
              <w:rPr>
                <w:rFonts w:hint="default" w:ascii="方正黑体简体" w:hAnsi="方正黑体简体" w:eastAsia="方正黑体简体"/>
                <w:sz w:val="16"/>
                <w:szCs w:val="24"/>
              </w:rPr>
            </w:pPr>
          </w:p>
          <w:p>
            <w:pPr>
              <w:pStyle w:val="6"/>
              <w:kinsoku w:val="0"/>
              <w:overflowPunct w:val="0"/>
              <w:ind w:left="29"/>
              <w:jc w:val="center"/>
              <w:rPr>
                <w:rFonts w:hint="eastAsia"/>
                <w:color w:val="231F20"/>
                <w:sz w:val="21"/>
                <w:szCs w:val="24"/>
              </w:rPr>
            </w:pPr>
            <w:r>
              <w:rPr>
                <w:rFonts w:hint="eastAsia"/>
                <w:color w:val="231F20"/>
                <w:sz w:val="21"/>
                <w:szCs w:val="24"/>
              </w:rPr>
              <w:t>8</w:t>
            </w:r>
          </w:p>
        </w:tc>
        <w:tc>
          <w:tcPr>
            <w:tcW w:w="85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0"/>
              <w:rPr>
                <w:rFonts w:hint="default" w:ascii="方正黑体简体" w:hAnsi="方正黑体简体" w:eastAsia="方正黑体简体"/>
                <w:sz w:val="16"/>
                <w:szCs w:val="24"/>
              </w:rPr>
            </w:pPr>
          </w:p>
          <w:p>
            <w:pPr>
              <w:pStyle w:val="6"/>
              <w:kinsoku w:val="0"/>
              <w:overflowPunct w:val="0"/>
              <w:ind w:right="295"/>
              <w:jc w:val="right"/>
              <w:rPr>
                <w:rFonts w:hint="eastAsia"/>
                <w:color w:val="231F20"/>
                <w:sz w:val="21"/>
                <w:szCs w:val="24"/>
              </w:rPr>
            </w:pPr>
            <w:r>
              <w:rPr>
                <w:rFonts w:hint="eastAsia"/>
                <w:color w:val="231F20"/>
                <w:sz w:val="21"/>
                <w:szCs w:val="24"/>
              </w:rPr>
              <w:t>12</w:t>
            </w:r>
          </w:p>
        </w:tc>
        <w:tc>
          <w:tcPr>
            <w:tcW w:w="850"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spacing w:before="10"/>
              <w:rPr>
                <w:rFonts w:hint="default" w:ascii="方正黑体简体" w:hAnsi="方正黑体简体" w:eastAsia="方正黑体简体"/>
                <w:sz w:val="16"/>
                <w:szCs w:val="24"/>
              </w:rPr>
            </w:pPr>
          </w:p>
          <w:p>
            <w:pPr>
              <w:pStyle w:val="6"/>
              <w:kinsoku w:val="0"/>
              <w:overflowPunct w:val="0"/>
              <w:ind w:left="144"/>
              <w:rPr>
                <w:rFonts w:hint="eastAsia"/>
                <w:color w:val="231F20"/>
                <w:sz w:val="21"/>
                <w:szCs w:val="24"/>
              </w:rPr>
            </w:pPr>
            <w:r>
              <w:rPr>
                <w:rFonts w:hint="eastAsia"/>
                <w:color w:val="231F20"/>
                <w:sz w:val="21"/>
                <w:szCs w:val="24"/>
              </w:rPr>
              <w:t>2.5 万</w:t>
            </w:r>
          </w:p>
        </w:tc>
      </w:tr>
    </w:tbl>
    <w:p>
      <w:pPr>
        <w:pStyle w:val="3"/>
        <w:kinsoku w:val="0"/>
        <w:overflowPunct w:val="0"/>
        <w:spacing w:before="113"/>
        <w:ind w:left="957"/>
        <w:rPr>
          <w:rFonts w:hint="eastAsia"/>
          <w:color w:val="231F20"/>
          <w:sz w:val="28"/>
          <w:szCs w:val="24"/>
        </w:rPr>
        <w:sectPr>
          <w:pgSz w:w="12250" w:h="17180"/>
          <w:pgMar w:top="1620" w:right="1480" w:bottom="1640" w:left="1480" w:header="0" w:footer="1444" w:gutter="0"/>
          <w:lnNumType w:countBy="0" w:distance="360"/>
          <w:cols w:space="720" w:num="1"/>
        </w:sectPr>
      </w:pPr>
      <w:r>
        <w:rPr>
          <w:rFonts w:hint="eastAsia"/>
          <w:color w:val="231F20"/>
          <w:sz w:val="28"/>
          <w:szCs w:val="24"/>
        </w:rPr>
        <w:t>注：第七次全国人口普查数据，兰州新区 28.8 万人。</w:t>
      </w:r>
    </w:p>
    <w:p>
      <w:pPr>
        <w:pStyle w:val="3"/>
        <w:kinsoku w:val="0"/>
        <w:overflowPunct w:val="0"/>
        <w:spacing w:before="2"/>
        <w:ind w:left="0"/>
        <w:rPr>
          <w:rFonts w:hint="eastAsia"/>
          <w:sz w:val="19"/>
          <w:szCs w:val="24"/>
        </w:rPr>
      </w:pPr>
    </w:p>
    <w:p>
      <w:pPr>
        <w:pStyle w:val="3"/>
        <w:kinsoku w:val="0"/>
        <w:overflowPunct w:val="0"/>
        <w:spacing w:before="56" w:line="328" w:lineRule="auto"/>
        <w:ind w:right="195" w:firstLine="680"/>
        <w:jc w:val="both"/>
        <w:rPr>
          <w:rFonts w:hint="eastAsia"/>
          <w:color w:val="231F20"/>
          <w:spacing w:val="-27"/>
          <w:sz w:val="32"/>
          <w:szCs w:val="24"/>
        </w:rPr>
      </w:pPr>
      <w:r>
        <w:rPr>
          <w:rFonts w:hint="eastAsia"/>
          <w:color w:val="231F20"/>
          <w:spacing w:val="27"/>
          <w:sz w:val="32"/>
          <w:szCs w:val="24"/>
        </w:rPr>
        <w:t>截至</w:t>
      </w:r>
      <w:r>
        <w:rPr>
          <w:rFonts w:hint="eastAsia"/>
          <w:color w:val="231F20"/>
          <w:sz w:val="32"/>
          <w:szCs w:val="24"/>
        </w:rPr>
        <w:t>2020</w:t>
      </w:r>
      <w:r>
        <w:rPr>
          <w:rFonts w:hint="eastAsia"/>
          <w:color w:val="231F20"/>
          <w:spacing w:val="-12"/>
          <w:sz w:val="32"/>
          <w:szCs w:val="24"/>
        </w:rPr>
        <w:t xml:space="preserve"> 年底，新区拥有各级各类医疗机构</w:t>
      </w:r>
      <w:r>
        <w:rPr>
          <w:rFonts w:hint="eastAsia"/>
          <w:color w:val="231F20"/>
          <w:sz w:val="32"/>
          <w:szCs w:val="24"/>
        </w:rPr>
        <w:t>112</w:t>
      </w:r>
      <w:r>
        <w:rPr>
          <w:rFonts w:hint="eastAsia"/>
          <w:color w:val="231F20"/>
          <w:spacing w:val="-47"/>
          <w:sz w:val="32"/>
          <w:szCs w:val="24"/>
        </w:rPr>
        <w:t xml:space="preserve"> 家，其中： </w:t>
      </w:r>
      <w:r>
        <w:rPr>
          <w:rFonts w:hint="eastAsia"/>
          <w:color w:val="231F20"/>
          <w:spacing w:val="-13"/>
          <w:sz w:val="32"/>
          <w:szCs w:val="24"/>
        </w:rPr>
        <w:t xml:space="preserve">公立二级医院 </w:t>
      </w:r>
      <w:r>
        <w:rPr>
          <w:rFonts w:hint="eastAsia"/>
          <w:color w:val="231F20"/>
          <w:sz w:val="32"/>
          <w:szCs w:val="24"/>
        </w:rPr>
        <w:t>1</w:t>
      </w:r>
      <w:r>
        <w:rPr>
          <w:rFonts w:hint="eastAsia"/>
          <w:color w:val="231F20"/>
          <w:spacing w:val="-23"/>
          <w:sz w:val="32"/>
          <w:szCs w:val="24"/>
        </w:rPr>
        <w:t xml:space="preserve"> 家；乡镇卫生院</w:t>
      </w:r>
      <w:r>
        <w:rPr>
          <w:rFonts w:hint="eastAsia"/>
          <w:color w:val="231F20"/>
          <w:sz w:val="32"/>
          <w:szCs w:val="24"/>
        </w:rPr>
        <w:t>（含社区卫生服务中心</w:t>
      </w:r>
      <w:r>
        <w:rPr>
          <w:rFonts w:hint="eastAsia"/>
          <w:color w:val="231F20"/>
          <w:spacing w:val="-20"/>
          <w:sz w:val="32"/>
          <w:szCs w:val="24"/>
        </w:rPr>
        <w:t>）3</w:t>
      </w:r>
      <w:r>
        <w:rPr>
          <w:rFonts w:hint="eastAsia"/>
          <w:color w:val="231F20"/>
          <w:spacing w:val="-30"/>
          <w:sz w:val="32"/>
          <w:szCs w:val="24"/>
        </w:rPr>
        <w:t xml:space="preserve"> 家， </w:t>
      </w:r>
      <w:r>
        <w:rPr>
          <w:rFonts w:hint="eastAsia"/>
          <w:color w:val="231F20"/>
          <w:spacing w:val="-7"/>
          <w:sz w:val="32"/>
          <w:szCs w:val="24"/>
        </w:rPr>
        <w:t xml:space="preserve">社区卫生服务中心 </w:t>
      </w:r>
      <w:r>
        <w:rPr>
          <w:rFonts w:hint="eastAsia"/>
          <w:color w:val="231F20"/>
          <w:sz w:val="32"/>
          <w:szCs w:val="24"/>
        </w:rPr>
        <w:t>3</w:t>
      </w:r>
      <w:r>
        <w:rPr>
          <w:rFonts w:hint="eastAsia"/>
          <w:color w:val="231F20"/>
          <w:spacing w:val="-20"/>
          <w:sz w:val="32"/>
          <w:szCs w:val="24"/>
        </w:rPr>
        <w:t xml:space="preserve"> 家；民营医院 </w:t>
      </w:r>
      <w:r>
        <w:rPr>
          <w:rFonts w:hint="eastAsia"/>
          <w:color w:val="231F20"/>
          <w:sz w:val="32"/>
          <w:szCs w:val="24"/>
        </w:rPr>
        <w:t>6</w:t>
      </w:r>
      <w:r>
        <w:rPr>
          <w:rFonts w:hint="eastAsia"/>
          <w:color w:val="231F20"/>
          <w:spacing w:val="-16"/>
          <w:sz w:val="32"/>
          <w:szCs w:val="24"/>
        </w:rPr>
        <w:t xml:space="preserve"> 家；康复医疗中心 </w:t>
      </w:r>
      <w:r>
        <w:rPr>
          <w:rFonts w:hint="eastAsia"/>
          <w:color w:val="231F20"/>
          <w:sz w:val="32"/>
          <w:szCs w:val="24"/>
        </w:rPr>
        <w:t>2</w:t>
      </w:r>
      <w:r>
        <w:rPr>
          <w:rFonts w:hint="eastAsia"/>
          <w:color w:val="231F20"/>
          <w:spacing w:val="-27"/>
          <w:sz w:val="32"/>
          <w:szCs w:val="24"/>
        </w:rPr>
        <w:t xml:space="preserve"> 家。</w:t>
      </w:r>
    </w:p>
    <w:p>
      <w:pPr>
        <w:pStyle w:val="3"/>
        <w:kinsoku w:val="0"/>
        <w:overflowPunct w:val="0"/>
        <w:spacing w:line="405" w:lineRule="exact"/>
        <w:jc w:val="both"/>
        <w:rPr>
          <w:rFonts w:hint="eastAsia"/>
          <w:color w:val="231F20"/>
          <w:spacing w:val="-16"/>
          <w:sz w:val="32"/>
          <w:szCs w:val="24"/>
        </w:rPr>
      </w:pPr>
      <w:r>
        <w:rPr>
          <w:rFonts w:hint="eastAsia"/>
          <w:color w:val="231F20"/>
          <w:spacing w:val="3"/>
          <w:sz w:val="32"/>
          <w:szCs w:val="24"/>
        </w:rPr>
        <w:t xml:space="preserve">新区共拥有住院床位 </w:t>
      </w:r>
      <w:r>
        <w:rPr>
          <w:rFonts w:hint="eastAsia"/>
          <w:color w:val="231F20"/>
          <w:sz w:val="32"/>
          <w:szCs w:val="24"/>
        </w:rPr>
        <w:t>1325</w:t>
      </w:r>
      <w:r>
        <w:rPr>
          <w:rFonts w:hint="eastAsia"/>
          <w:color w:val="231F20"/>
          <w:spacing w:val="-10"/>
          <w:sz w:val="32"/>
          <w:szCs w:val="24"/>
        </w:rPr>
        <w:t xml:space="preserve"> 张，执业</w:t>
      </w:r>
      <w:r>
        <w:rPr>
          <w:rFonts w:hint="eastAsia"/>
          <w:color w:val="231F20"/>
          <w:spacing w:val="15"/>
          <w:sz w:val="32"/>
          <w:szCs w:val="24"/>
        </w:rPr>
        <w:t>（</w:t>
      </w:r>
      <w:r>
        <w:rPr>
          <w:rFonts w:hint="eastAsia"/>
          <w:color w:val="231F20"/>
          <w:spacing w:val="11"/>
          <w:sz w:val="32"/>
          <w:szCs w:val="24"/>
        </w:rPr>
        <w:t>助理</w:t>
      </w:r>
      <w:r>
        <w:rPr>
          <w:rFonts w:hint="eastAsia"/>
          <w:color w:val="231F20"/>
          <w:spacing w:val="15"/>
          <w:sz w:val="32"/>
          <w:szCs w:val="24"/>
        </w:rPr>
        <w:t>）</w:t>
      </w:r>
      <w:r>
        <w:rPr>
          <w:rFonts w:hint="eastAsia"/>
          <w:color w:val="231F20"/>
          <w:spacing w:val="-21"/>
          <w:sz w:val="32"/>
          <w:szCs w:val="24"/>
        </w:rPr>
        <w:t xml:space="preserve">医师 </w:t>
      </w:r>
      <w:r>
        <w:rPr>
          <w:rFonts w:hint="eastAsia"/>
          <w:color w:val="231F20"/>
          <w:sz w:val="32"/>
          <w:szCs w:val="24"/>
        </w:rPr>
        <w:t>384</w:t>
      </w:r>
      <w:r>
        <w:rPr>
          <w:rFonts w:hint="eastAsia"/>
          <w:color w:val="231F20"/>
          <w:spacing w:val="-16"/>
          <w:sz w:val="32"/>
          <w:szCs w:val="24"/>
        </w:rPr>
        <w:t xml:space="preserve"> 人，注</w:t>
      </w:r>
    </w:p>
    <w:p>
      <w:pPr>
        <w:pStyle w:val="3"/>
        <w:kinsoku w:val="0"/>
        <w:overflowPunct w:val="0"/>
        <w:spacing w:before="150"/>
        <w:jc w:val="both"/>
        <w:rPr>
          <w:rFonts w:hint="eastAsia"/>
          <w:color w:val="231F20"/>
          <w:spacing w:val="-15"/>
          <w:sz w:val="32"/>
          <w:szCs w:val="24"/>
        </w:rPr>
      </w:pPr>
      <w:r>
        <w:rPr>
          <w:rFonts w:hint="eastAsia"/>
          <w:color w:val="231F20"/>
          <w:spacing w:val="-19"/>
          <w:sz w:val="32"/>
          <w:szCs w:val="24"/>
        </w:rPr>
        <w:t xml:space="preserve">册护士 </w:t>
      </w:r>
      <w:r>
        <w:rPr>
          <w:rFonts w:hint="eastAsia"/>
          <w:color w:val="231F20"/>
          <w:sz w:val="32"/>
          <w:szCs w:val="24"/>
        </w:rPr>
        <w:t>441</w:t>
      </w:r>
      <w:r>
        <w:rPr>
          <w:rFonts w:hint="eastAsia"/>
          <w:color w:val="231F20"/>
          <w:spacing w:val="-11"/>
          <w:sz w:val="32"/>
          <w:szCs w:val="24"/>
        </w:rPr>
        <w:t xml:space="preserve"> 人，平均每千常住人口拥有医疗床位 </w:t>
      </w:r>
      <w:r>
        <w:rPr>
          <w:rFonts w:hint="eastAsia"/>
          <w:color w:val="231F20"/>
          <w:sz w:val="32"/>
          <w:szCs w:val="24"/>
        </w:rPr>
        <w:t>4.6</w:t>
      </w:r>
      <w:r>
        <w:rPr>
          <w:rFonts w:hint="eastAsia"/>
          <w:color w:val="231F20"/>
          <w:spacing w:val="-15"/>
          <w:sz w:val="32"/>
          <w:szCs w:val="24"/>
        </w:rPr>
        <w:t xml:space="preserve"> 张；新区</w:t>
      </w:r>
    </w:p>
    <w:p>
      <w:pPr>
        <w:pStyle w:val="3"/>
        <w:kinsoku w:val="0"/>
        <w:overflowPunct w:val="0"/>
        <w:spacing w:before="150"/>
        <w:jc w:val="both"/>
        <w:rPr>
          <w:rFonts w:hint="eastAsia"/>
          <w:color w:val="231F20"/>
          <w:spacing w:val="-36"/>
          <w:sz w:val="32"/>
          <w:szCs w:val="24"/>
        </w:rPr>
      </w:pPr>
      <w:r>
        <w:rPr>
          <w:rFonts w:hint="eastAsia"/>
          <w:color w:val="231F20"/>
          <w:spacing w:val="-10"/>
          <w:sz w:val="32"/>
          <w:szCs w:val="24"/>
        </w:rPr>
        <w:t>每千常住人口拥有执业</w:t>
      </w:r>
      <w:r>
        <w:rPr>
          <w:rFonts w:hint="eastAsia"/>
          <w:color w:val="231F20"/>
          <w:sz w:val="32"/>
          <w:szCs w:val="24"/>
        </w:rPr>
        <w:t>（助理</w:t>
      </w:r>
      <w:r>
        <w:rPr>
          <w:rFonts w:hint="eastAsia"/>
          <w:color w:val="231F20"/>
          <w:spacing w:val="-98"/>
          <w:sz w:val="32"/>
          <w:szCs w:val="24"/>
        </w:rPr>
        <w:t>）</w:t>
      </w:r>
      <w:r>
        <w:rPr>
          <w:rFonts w:hint="eastAsia"/>
          <w:color w:val="231F20"/>
          <w:spacing w:val="27"/>
          <w:sz w:val="32"/>
          <w:szCs w:val="24"/>
        </w:rPr>
        <w:t>医师</w:t>
      </w:r>
      <w:r>
        <w:rPr>
          <w:rFonts w:hint="eastAsia"/>
          <w:color w:val="231F20"/>
          <w:sz w:val="32"/>
          <w:szCs w:val="24"/>
        </w:rPr>
        <w:t>3.03</w:t>
      </w:r>
      <w:r>
        <w:rPr>
          <w:rFonts w:hint="eastAsia"/>
          <w:color w:val="231F20"/>
          <w:spacing w:val="-23"/>
          <w:sz w:val="32"/>
          <w:szCs w:val="24"/>
        </w:rPr>
        <w:t xml:space="preserve"> 人，注册护士</w:t>
      </w:r>
      <w:r>
        <w:rPr>
          <w:rFonts w:hint="eastAsia"/>
          <w:color w:val="231F20"/>
          <w:sz w:val="32"/>
          <w:szCs w:val="24"/>
        </w:rPr>
        <w:t>1.53</w:t>
      </w:r>
      <w:r>
        <w:rPr>
          <w:rFonts w:hint="eastAsia"/>
          <w:color w:val="231F20"/>
          <w:spacing w:val="-36"/>
          <w:sz w:val="32"/>
          <w:szCs w:val="24"/>
        </w:rPr>
        <w:t xml:space="preserve"> 人，</w:t>
      </w:r>
    </w:p>
    <w:p>
      <w:pPr>
        <w:pStyle w:val="3"/>
        <w:kinsoku w:val="0"/>
        <w:overflowPunct w:val="0"/>
        <w:spacing w:before="150" w:line="328" w:lineRule="auto"/>
        <w:ind w:right="263"/>
        <w:jc w:val="both"/>
        <w:rPr>
          <w:rFonts w:hint="eastAsia"/>
          <w:color w:val="231F20"/>
          <w:sz w:val="32"/>
          <w:szCs w:val="24"/>
        </w:rPr>
      </w:pPr>
      <w:r>
        <w:rPr>
          <w:rFonts w:hint="eastAsia"/>
          <w:color w:val="231F20"/>
          <w:sz w:val="32"/>
          <w:szCs w:val="24"/>
        </w:rPr>
        <w:t>均比 2016 年明显提高，基本实现了“小病不出乡镇、大病不出新区”。</w:t>
      </w:r>
    </w:p>
    <w:p>
      <w:pPr>
        <w:pStyle w:val="3"/>
        <w:kinsoku w:val="0"/>
        <w:overflowPunct w:val="0"/>
        <w:spacing w:line="460"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四、医药卫生体制改革持续深化</w:t>
      </w:r>
    </w:p>
    <w:p>
      <w:pPr>
        <w:pStyle w:val="3"/>
        <w:kinsoku w:val="0"/>
        <w:overflowPunct w:val="0"/>
        <w:spacing w:before="96" w:line="328" w:lineRule="auto"/>
        <w:ind w:right="115" w:firstLine="680"/>
        <w:rPr>
          <w:rFonts w:hint="eastAsia"/>
          <w:color w:val="231F20"/>
          <w:sz w:val="32"/>
          <w:szCs w:val="24"/>
        </w:rPr>
      </w:pPr>
      <w:r>
        <w:rPr>
          <w:rFonts w:hint="eastAsia"/>
          <w:color w:val="231F20"/>
          <w:sz w:val="32"/>
          <w:szCs w:val="24"/>
        </w:rPr>
        <w:t>“十三五”期间，兰州新区深入贯彻落实国家和省市关于深化医药卫生体制改革的决策部署，坚持保基本、强基层、建机制，创新举措，综合施策。公立医院改革巩固提升，全面落</w:t>
      </w:r>
      <w:r>
        <w:rPr>
          <w:rFonts w:hint="eastAsia"/>
          <w:color w:val="231F20"/>
          <w:spacing w:val="1"/>
          <w:sz w:val="32"/>
          <w:szCs w:val="24"/>
        </w:rPr>
        <w:t>实党组织领导下的院长负责制，推行全成本核算管理，实行人</w:t>
      </w:r>
      <w:r>
        <w:rPr>
          <w:rFonts w:hint="eastAsia"/>
          <w:color w:val="231F20"/>
          <w:sz w:val="32"/>
          <w:szCs w:val="24"/>
        </w:rPr>
        <w:t xml:space="preserve">员总量控制。公立医院绩效考核纳入新区全员绩效考核体系， </w:t>
      </w:r>
      <w:r>
        <w:rPr>
          <w:rFonts w:hint="eastAsia"/>
          <w:color w:val="231F20"/>
          <w:spacing w:val="1"/>
          <w:sz w:val="32"/>
          <w:szCs w:val="24"/>
        </w:rPr>
        <w:t>人员支出占业务支出的比例逐年提高。强力推进医联体、医共</w:t>
      </w:r>
      <w:r>
        <w:rPr>
          <w:rFonts w:hint="eastAsia"/>
          <w:color w:val="231F20"/>
          <w:spacing w:val="-4"/>
          <w:sz w:val="32"/>
          <w:szCs w:val="24"/>
        </w:rPr>
        <w:t xml:space="preserve">体建设，落实分级诊疗和双向转诊，与省内外 </w:t>
      </w:r>
      <w:r>
        <w:rPr>
          <w:rFonts w:hint="eastAsia"/>
          <w:color w:val="231F20"/>
          <w:sz w:val="32"/>
          <w:szCs w:val="24"/>
        </w:rPr>
        <w:t>5</w:t>
      </w:r>
      <w:r>
        <w:rPr>
          <w:rFonts w:hint="eastAsia"/>
          <w:color w:val="231F20"/>
          <w:spacing w:val="-9"/>
          <w:sz w:val="32"/>
          <w:szCs w:val="24"/>
        </w:rPr>
        <w:t xml:space="preserve"> 家三级医院签</w:t>
      </w:r>
      <w:r>
        <w:rPr>
          <w:rFonts w:hint="eastAsia"/>
          <w:color w:val="231F20"/>
          <w:spacing w:val="2"/>
          <w:sz w:val="32"/>
          <w:szCs w:val="24"/>
        </w:rPr>
        <w:t>署对口帮扶共建协议，新区第一人民医院和基层医疗机构建立</w:t>
      </w:r>
      <w:r>
        <w:rPr>
          <w:rFonts w:hint="eastAsia"/>
          <w:color w:val="231F20"/>
          <w:sz w:val="32"/>
          <w:szCs w:val="24"/>
        </w:rPr>
        <w:t>医共体，下沉优质医疗资源，开展远程医疗服务。全面实现了乡镇卫生院对村卫生室的“七统一”管理。严格执行城乡居民</w:t>
      </w:r>
      <w:r>
        <w:rPr>
          <w:rFonts w:hint="eastAsia"/>
          <w:color w:val="231F20"/>
          <w:spacing w:val="-9"/>
          <w:sz w:val="32"/>
          <w:szCs w:val="24"/>
        </w:rPr>
        <w:t>基本医疗保险“定额付费、病种支付、单病种结算、项目服务、</w:t>
      </w:r>
      <w:r>
        <w:rPr>
          <w:rFonts w:hint="eastAsia"/>
          <w:color w:val="231F20"/>
          <w:sz w:val="32"/>
          <w:szCs w:val="24"/>
        </w:rPr>
        <w:t xml:space="preserve">床日付费”复合结算方式。公立医疗机构严格落实药品“零差价”销售制度，降低药品价格，破除“以药补医”现象。全面落实药品耗材阳光挂网采购、“两票制”、带量采购等措施， </w:t>
      </w:r>
      <w:r>
        <w:rPr>
          <w:rFonts w:hint="eastAsia"/>
          <w:color w:val="231F20"/>
          <w:spacing w:val="-27"/>
          <w:sz w:val="32"/>
          <w:szCs w:val="24"/>
        </w:rPr>
        <w:t xml:space="preserve">完成 </w:t>
      </w:r>
      <w:r>
        <w:rPr>
          <w:rFonts w:hint="eastAsia"/>
          <w:color w:val="231F20"/>
          <w:sz w:val="32"/>
          <w:szCs w:val="24"/>
        </w:rPr>
        <w:t>2</w:t>
      </w:r>
      <w:r>
        <w:rPr>
          <w:rFonts w:hint="eastAsia"/>
          <w:color w:val="231F20"/>
          <w:spacing w:val="-14"/>
          <w:sz w:val="32"/>
          <w:szCs w:val="24"/>
        </w:rPr>
        <w:t xml:space="preserve"> 批次国家药品集中带量采购任务，超采购任务量 </w:t>
      </w:r>
      <w:r>
        <w:rPr>
          <w:rFonts w:hint="eastAsia"/>
          <w:color w:val="231F20"/>
          <w:sz w:val="32"/>
          <w:szCs w:val="24"/>
        </w:rPr>
        <w:t>227%。</w:t>
      </w:r>
    </w:p>
    <w:p>
      <w:pPr>
        <w:pStyle w:val="3"/>
        <w:kinsoku w:val="0"/>
        <w:overflowPunct w:val="0"/>
        <w:spacing w:before="96" w:line="328" w:lineRule="auto"/>
        <w:ind w:right="115" w:firstLine="680"/>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rPr>
          <w:rFonts w:hint="eastAsia"/>
          <w:color w:val="231F20"/>
          <w:sz w:val="32"/>
          <w:szCs w:val="24"/>
        </w:rPr>
      </w:pPr>
      <w:r>
        <w:rPr>
          <w:rFonts w:hint="eastAsia"/>
          <w:color w:val="231F20"/>
          <w:sz w:val="32"/>
          <w:szCs w:val="24"/>
        </w:rPr>
        <w:t>深化医疗卫生领域“放管服”改革，优化审批服务，全面推进证照分离，47</w:t>
      </w:r>
      <w:r>
        <w:rPr>
          <w:rFonts w:hint="eastAsia"/>
          <w:color w:val="231F20"/>
          <w:spacing w:val="-10"/>
          <w:sz w:val="32"/>
          <w:szCs w:val="24"/>
        </w:rPr>
        <w:t xml:space="preserve"> 项与企业生产经营、群众生产生活密切相关的重</w:t>
      </w:r>
      <w:r>
        <w:rPr>
          <w:rFonts w:hint="eastAsia"/>
          <w:color w:val="231F20"/>
          <w:sz w:val="32"/>
          <w:szCs w:val="24"/>
        </w:rPr>
        <w:t>点领域高频事项全部实现“最多跑一次”。新区基本建成覆盖全区的人口信息、电子健康档案和电子病历三大数据库，并实</w:t>
      </w:r>
      <w:r>
        <w:rPr>
          <w:rFonts w:hint="eastAsia"/>
          <w:color w:val="231F20"/>
          <w:spacing w:val="-8"/>
          <w:sz w:val="32"/>
          <w:szCs w:val="24"/>
        </w:rPr>
        <w:t>现信息动态更新。智慧医疗监管应用平台、医疗数据质控平台、</w:t>
      </w:r>
      <w:r>
        <w:rPr>
          <w:rFonts w:hint="eastAsia"/>
          <w:color w:val="231F20"/>
          <w:spacing w:val="-3"/>
          <w:sz w:val="32"/>
          <w:szCs w:val="24"/>
        </w:rPr>
        <w:t xml:space="preserve">医疗数据共享交换平台及区域云 </w:t>
      </w:r>
      <w:r>
        <w:rPr>
          <w:rFonts w:hint="eastAsia"/>
          <w:color w:val="231F20"/>
          <w:sz w:val="32"/>
          <w:szCs w:val="24"/>
        </w:rPr>
        <w:t>HIS</w:t>
      </w:r>
      <w:r>
        <w:rPr>
          <w:rFonts w:hint="eastAsia"/>
          <w:color w:val="231F20"/>
          <w:spacing w:val="-6"/>
          <w:sz w:val="32"/>
          <w:szCs w:val="24"/>
        </w:rPr>
        <w:t xml:space="preserve"> 系统、健康档案、电子病</w:t>
      </w:r>
      <w:r>
        <w:rPr>
          <w:rFonts w:hint="eastAsia"/>
          <w:color w:val="231F20"/>
          <w:spacing w:val="-10"/>
          <w:sz w:val="32"/>
          <w:szCs w:val="24"/>
        </w:rPr>
        <w:t xml:space="preserve">历已在华为云平台完成部署；基层卫生院区域云 </w:t>
      </w:r>
      <w:r>
        <w:rPr>
          <w:rFonts w:hint="eastAsia"/>
          <w:color w:val="231F20"/>
          <w:sz w:val="32"/>
          <w:szCs w:val="24"/>
        </w:rPr>
        <w:t>HIS</w:t>
      </w:r>
      <w:r>
        <w:rPr>
          <w:rFonts w:hint="eastAsia"/>
          <w:color w:val="231F20"/>
          <w:spacing w:val="-13"/>
          <w:sz w:val="32"/>
          <w:szCs w:val="24"/>
        </w:rPr>
        <w:t xml:space="preserve"> 系统已投</w:t>
      </w:r>
      <w:r>
        <w:rPr>
          <w:rFonts w:hint="eastAsia"/>
          <w:color w:val="231F20"/>
          <w:sz w:val="32"/>
          <w:szCs w:val="24"/>
        </w:rPr>
        <w:t>入使用。</w:t>
      </w:r>
    </w:p>
    <w:p>
      <w:pPr>
        <w:pStyle w:val="3"/>
        <w:kinsoku w:val="0"/>
        <w:overflowPunct w:val="0"/>
        <w:spacing w:line="450"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五、中医药产业与事业并举</w:t>
      </w:r>
    </w:p>
    <w:p>
      <w:pPr>
        <w:pStyle w:val="3"/>
        <w:kinsoku w:val="0"/>
        <w:overflowPunct w:val="0"/>
        <w:spacing w:before="96" w:line="328" w:lineRule="auto"/>
        <w:ind w:right="115" w:firstLine="680"/>
        <w:rPr>
          <w:rFonts w:hint="eastAsia"/>
          <w:color w:val="231F20"/>
          <w:spacing w:val="-4"/>
          <w:sz w:val="32"/>
          <w:szCs w:val="24"/>
        </w:rPr>
      </w:pPr>
      <w:r>
        <w:rPr>
          <w:rFonts w:hint="eastAsia"/>
          <w:color w:val="231F20"/>
          <w:sz w:val="32"/>
          <w:szCs w:val="24"/>
        </w:rPr>
        <w:t>“十三五”期间，兰州新区坚持绿色发展理念，构建现代</w:t>
      </w:r>
      <w:r>
        <w:rPr>
          <w:rFonts w:hint="eastAsia"/>
          <w:color w:val="231F20"/>
          <w:spacing w:val="-22"/>
          <w:sz w:val="32"/>
          <w:szCs w:val="24"/>
        </w:rPr>
        <w:t xml:space="preserve">中医药产业体系，编制实施《兰州新区中医药产业园发展规划》， </w:t>
      </w:r>
      <w:r>
        <w:rPr>
          <w:rFonts w:hint="eastAsia"/>
          <w:color w:val="231F20"/>
          <w:spacing w:val="4"/>
          <w:sz w:val="32"/>
          <w:szCs w:val="24"/>
        </w:rPr>
        <w:t xml:space="preserve">累计引进生物制药产业项目 </w:t>
      </w:r>
      <w:r>
        <w:rPr>
          <w:rFonts w:hint="eastAsia"/>
          <w:color w:val="231F20"/>
          <w:sz w:val="32"/>
          <w:szCs w:val="24"/>
        </w:rPr>
        <w:t>38</w:t>
      </w:r>
      <w:r>
        <w:rPr>
          <w:rFonts w:hint="eastAsia"/>
          <w:color w:val="231F20"/>
          <w:spacing w:val="-18"/>
          <w:sz w:val="32"/>
          <w:szCs w:val="24"/>
        </w:rPr>
        <w:t xml:space="preserve"> 个、总投资 </w:t>
      </w:r>
      <w:r>
        <w:rPr>
          <w:rFonts w:hint="eastAsia"/>
          <w:color w:val="231F20"/>
          <w:sz w:val="32"/>
          <w:szCs w:val="24"/>
        </w:rPr>
        <w:t>142</w:t>
      </w:r>
      <w:r>
        <w:rPr>
          <w:rFonts w:hint="eastAsia"/>
          <w:color w:val="231F20"/>
          <w:spacing w:val="-4"/>
          <w:sz w:val="32"/>
          <w:szCs w:val="24"/>
        </w:rPr>
        <w:t xml:space="preserve"> 亿元，建成项</w:t>
      </w:r>
    </w:p>
    <w:p>
      <w:pPr>
        <w:pStyle w:val="3"/>
        <w:kinsoku w:val="0"/>
        <w:overflowPunct w:val="0"/>
        <w:spacing w:line="405" w:lineRule="exact"/>
        <w:rPr>
          <w:rFonts w:hint="eastAsia"/>
          <w:color w:val="231F20"/>
          <w:spacing w:val="-19"/>
          <w:sz w:val="32"/>
          <w:szCs w:val="24"/>
        </w:rPr>
      </w:pPr>
      <w:r>
        <w:rPr>
          <w:rFonts w:hint="eastAsia"/>
          <w:color w:val="231F20"/>
          <w:spacing w:val="-49"/>
          <w:sz w:val="32"/>
          <w:szCs w:val="24"/>
        </w:rPr>
        <w:t xml:space="preserve">目 </w:t>
      </w:r>
      <w:r>
        <w:rPr>
          <w:rFonts w:hint="eastAsia"/>
          <w:color w:val="231F20"/>
          <w:sz w:val="32"/>
          <w:szCs w:val="24"/>
        </w:rPr>
        <w:t>17</w:t>
      </w:r>
      <w:r>
        <w:rPr>
          <w:rFonts w:hint="eastAsia"/>
          <w:color w:val="231F20"/>
          <w:spacing w:val="-19"/>
          <w:sz w:val="32"/>
          <w:szCs w:val="24"/>
        </w:rPr>
        <w:t xml:space="preserve"> 个，兰州和盛堂、佛慈、安泰堂等重大中药产业项目投产。</w:t>
      </w:r>
    </w:p>
    <w:p>
      <w:pPr>
        <w:pStyle w:val="3"/>
        <w:kinsoku w:val="0"/>
        <w:overflowPunct w:val="0"/>
        <w:spacing w:before="150"/>
        <w:rPr>
          <w:rFonts w:hint="eastAsia"/>
          <w:color w:val="231F20"/>
          <w:sz w:val="32"/>
          <w:szCs w:val="24"/>
        </w:rPr>
      </w:pPr>
      <w:r>
        <w:rPr>
          <w:rFonts w:hint="eastAsia"/>
          <w:color w:val="231F20"/>
          <w:sz w:val="32"/>
          <w:szCs w:val="24"/>
        </w:rPr>
        <w:t>中药材种植实现规模化集约化，建成 1258 座中药材育苗日光</w:t>
      </w:r>
    </w:p>
    <w:p>
      <w:pPr>
        <w:pStyle w:val="3"/>
        <w:kinsoku w:val="0"/>
        <w:overflowPunct w:val="0"/>
        <w:spacing w:before="150" w:line="328" w:lineRule="auto"/>
        <w:ind w:right="115"/>
        <w:rPr>
          <w:rFonts w:hint="eastAsia"/>
          <w:color w:val="231F20"/>
          <w:sz w:val="32"/>
          <w:szCs w:val="24"/>
        </w:rPr>
      </w:pPr>
      <w:r>
        <w:rPr>
          <w:rFonts w:hint="eastAsia"/>
          <w:color w:val="231F20"/>
          <w:spacing w:val="-18"/>
          <w:sz w:val="32"/>
          <w:szCs w:val="24"/>
        </w:rPr>
        <w:t>温室大棚，玫瑰、黄芪等中药材规模化种植基地达到</w:t>
      </w:r>
      <w:r>
        <w:rPr>
          <w:rFonts w:hint="eastAsia"/>
          <w:color w:val="231F20"/>
          <w:sz w:val="32"/>
          <w:szCs w:val="24"/>
        </w:rPr>
        <w:t>2</w:t>
      </w:r>
      <w:r>
        <w:rPr>
          <w:rFonts w:hint="eastAsia"/>
          <w:color w:val="231F20"/>
          <w:spacing w:val="-23"/>
          <w:sz w:val="32"/>
          <w:szCs w:val="24"/>
        </w:rPr>
        <w:t xml:space="preserve"> 万亩以上， </w:t>
      </w:r>
      <w:r>
        <w:rPr>
          <w:rFonts w:hint="eastAsia"/>
          <w:color w:val="231F20"/>
          <w:spacing w:val="3"/>
          <w:sz w:val="32"/>
          <w:szCs w:val="24"/>
        </w:rPr>
        <w:t>中川园区空港区域内的万亩陇药良种繁育种植基地进入实质性</w:t>
      </w:r>
      <w:r>
        <w:rPr>
          <w:rFonts w:hint="eastAsia"/>
          <w:color w:val="231F20"/>
          <w:spacing w:val="1"/>
          <w:sz w:val="32"/>
          <w:szCs w:val="24"/>
        </w:rPr>
        <w:t>实施阶段。实施中医药传承创新工程，提升中医药综合服务能</w:t>
      </w:r>
      <w:r>
        <w:rPr>
          <w:rFonts w:hint="eastAsia"/>
          <w:color w:val="231F20"/>
          <w:sz w:val="32"/>
          <w:szCs w:val="24"/>
        </w:rPr>
        <w:t>力，大力开展中医药健康扶贫，公立医疗机构中医馆建设覆盖</w:t>
      </w:r>
      <w:r>
        <w:rPr>
          <w:rFonts w:hint="eastAsia"/>
          <w:color w:val="231F20"/>
          <w:spacing w:val="-27"/>
          <w:sz w:val="32"/>
          <w:szCs w:val="24"/>
        </w:rPr>
        <w:t xml:space="preserve">率达 </w:t>
      </w:r>
      <w:r>
        <w:rPr>
          <w:rFonts w:hint="eastAsia"/>
          <w:color w:val="231F20"/>
          <w:sz w:val="32"/>
          <w:szCs w:val="24"/>
        </w:rPr>
        <w:t>100%。</w:t>
      </w:r>
    </w:p>
    <w:p>
      <w:pPr>
        <w:pStyle w:val="3"/>
        <w:kinsoku w:val="0"/>
        <w:overflowPunct w:val="0"/>
        <w:spacing w:line="455"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六、医疗服务质量及安全监管全面加强</w:t>
      </w:r>
    </w:p>
    <w:p>
      <w:pPr>
        <w:pStyle w:val="3"/>
        <w:kinsoku w:val="0"/>
        <w:overflowPunct w:val="0"/>
        <w:spacing w:before="97" w:line="328" w:lineRule="auto"/>
        <w:ind w:right="115" w:firstLine="680"/>
        <w:rPr>
          <w:rFonts w:hint="eastAsia"/>
          <w:color w:val="231F20"/>
          <w:spacing w:val="-6"/>
          <w:sz w:val="32"/>
          <w:szCs w:val="24"/>
        </w:rPr>
      </w:pPr>
      <w:r>
        <w:rPr>
          <w:rFonts w:hint="eastAsia"/>
          <w:color w:val="231F20"/>
          <w:sz w:val="32"/>
          <w:szCs w:val="24"/>
        </w:rPr>
        <w:t>“十三五”期间，建成检验、病理、影像、心电、消供五</w:t>
      </w:r>
      <w:r>
        <w:rPr>
          <w:rFonts w:hint="eastAsia"/>
          <w:color w:val="231F20"/>
          <w:spacing w:val="-13"/>
          <w:sz w:val="32"/>
          <w:szCs w:val="24"/>
        </w:rPr>
        <w:t xml:space="preserve">大中心，建设县级医院重点专科 </w:t>
      </w:r>
      <w:r>
        <w:rPr>
          <w:rFonts w:hint="eastAsia"/>
          <w:color w:val="231F20"/>
          <w:sz w:val="32"/>
          <w:szCs w:val="24"/>
        </w:rPr>
        <w:t>3</w:t>
      </w:r>
      <w:r>
        <w:rPr>
          <w:rFonts w:hint="eastAsia"/>
          <w:color w:val="231F20"/>
          <w:spacing w:val="-30"/>
          <w:sz w:val="32"/>
          <w:szCs w:val="24"/>
        </w:rPr>
        <w:t xml:space="preserve"> 个、薄弱学科 </w:t>
      </w:r>
      <w:r>
        <w:rPr>
          <w:rFonts w:hint="eastAsia"/>
          <w:color w:val="231F20"/>
          <w:sz w:val="32"/>
          <w:szCs w:val="24"/>
        </w:rPr>
        <w:t>5</w:t>
      </w:r>
      <w:r>
        <w:rPr>
          <w:rFonts w:hint="eastAsia"/>
          <w:color w:val="231F20"/>
          <w:spacing w:val="-28"/>
          <w:sz w:val="32"/>
          <w:szCs w:val="24"/>
        </w:rPr>
        <w:t xml:space="preserve"> 个。开展“优</w:t>
      </w:r>
      <w:r>
        <w:rPr>
          <w:rFonts w:hint="eastAsia"/>
          <w:color w:val="231F20"/>
          <w:spacing w:val="-46"/>
          <w:sz w:val="32"/>
          <w:szCs w:val="24"/>
        </w:rPr>
        <w:t>质服务基层行”活动，</w:t>
      </w:r>
      <w:r>
        <w:rPr>
          <w:rFonts w:hint="eastAsia"/>
          <w:color w:val="231F20"/>
          <w:sz w:val="32"/>
          <w:szCs w:val="24"/>
        </w:rPr>
        <w:t>6</w:t>
      </w:r>
      <w:r>
        <w:rPr>
          <w:rFonts w:hint="eastAsia"/>
          <w:color w:val="231F20"/>
          <w:spacing w:val="-13"/>
          <w:sz w:val="32"/>
          <w:szCs w:val="24"/>
        </w:rPr>
        <w:t xml:space="preserve"> 家基层医疗机构全部达到国家基本标准，</w:t>
      </w:r>
      <w:r>
        <w:rPr>
          <w:rFonts w:hint="eastAsia"/>
          <w:color w:val="231F20"/>
          <w:spacing w:val="-25"/>
          <w:sz w:val="32"/>
          <w:szCs w:val="24"/>
        </w:rPr>
        <w:t xml:space="preserve">其中 </w:t>
      </w:r>
      <w:r>
        <w:rPr>
          <w:rFonts w:hint="eastAsia"/>
          <w:color w:val="231F20"/>
          <w:sz w:val="32"/>
          <w:szCs w:val="24"/>
        </w:rPr>
        <w:t>1</w:t>
      </w:r>
      <w:r>
        <w:rPr>
          <w:rFonts w:hint="eastAsia"/>
          <w:color w:val="231F20"/>
          <w:spacing w:val="-6"/>
          <w:sz w:val="32"/>
          <w:szCs w:val="24"/>
        </w:rPr>
        <w:t xml:space="preserve"> 家达到推荐标准，并被确定为“甘肃省基层卫生人才培</w:t>
      </w:r>
    </w:p>
    <w:p>
      <w:pPr>
        <w:pStyle w:val="3"/>
        <w:kinsoku w:val="0"/>
        <w:overflowPunct w:val="0"/>
        <w:spacing w:before="97" w:line="328" w:lineRule="auto"/>
        <w:ind w:right="115" w:firstLine="680"/>
        <w:rPr>
          <w:rFonts w:hint="eastAsia"/>
          <w:color w:val="231F20"/>
          <w:spacing w:val="-6"/>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68"/>
        <w:jc w:val="both"/>
        <w:rPr>
          <w:rFonts w:hint="eastAsia"/>
          <w:color w:val="231F20"/>
          <w:sz w:val="32"/>
          <w:szCs w:val="24"/>
        </w:rPr>
      </w:pPr>
      <w:r>
        <w:rPr>
          <w:rFonts w:hint="eastAsia"/>
          <w:color w:val="231F20"/>
          <w:spacing w:val="-4"/>
          <w:sz w:val="32"/>
          <w:szCs w:val="24"/>
        </w:rPr>
        <w:t xml:space="preserve">训基地”。区域内就诊率达 </w:t>
      </w:r>
      <w:r>
        <w:rPr>
          <w:rFonts w:hint="eastAsia"/>
          <w:color w:val="231F20"/>
          <w:sz w:val="32"/>
          <w:szCs w:val="24"/>
        </w:rPr>
        <w:t>90%</w:t>
      </w:r>
      <w:r>
        <w:rPr>
          <w:rFonts w:hint="eastAsia"/>
          <w:color w:val="231F20"/>
          <w:spacing w:val="6"/>
          <w:sz w:val="32"/>
          <w:szCs w:val="24"/>
        </w:rPr>
        <w:t>。新区紧急医学救援中心和各</w:t>
      </w:r>
      <w:r>
        <w:rPr>
          <w:rFonts w:hint="eastAsia"/>
          <w:color w:val="231F20"/>
          <w:spacing w:val="-5"/>
          <w:sz w:val="32"/>
          <w:szCs w:val="24"/>
        </w:rPr>
        <w:t xml:space="preserve">急救分站全部纳入省级 </w:t>
      </w:r>
      <w:r>
        <w:rPr>
          <w:rFonts w:hint="eastAsia"/>
          <w:color w:val="231F20"/>
          <w:sz w:val="32"/>
          <w:szCs w:val="24"/>
        </w:rPr>
        <w:t>120</w:t>
      </w:r>
      <w:r>
        <w:rPr>
          <w:rFonts w:hint="eastAsia"/>
          <w:color w:val="231F20"/>
          <w:spacing w:val="-7"/>
          <w:sz w:val="32"/>
          <w:szCs w:val="24"/>
        </w:rPr>
        <w:t xml:space="preserve"> 急救指挥调度平台，急救调度网络</w:t>
      </w:r>
      <w:r>
        <w:rPr>
          <w:rFonts w:hint="eastAsia"/>
          <w:color w:val="231F20"/>
          <w:spacing w:val="1"/>
          <w:sz w:val="32"/>
          <w:szCs w:val="24"/>
        </w:rPr>
        <w:t>全面建成。卫生行业综合监管和执法能力建设逐步推进，医疗</w:t>
      </w:r>
      <w:r>
        <w:rPr>
          <w:rFonts w:hint="eastAsia"/>
          <w:color w:val="231F20"/>
          <w:sz w:val="32"/>
          <w:szCs w:val="24"/>
        </w:rPr>
        <w:t>服务、质量监管和监督检查进一步加强，医疗乱象专项整治持续开展，医疗机构和医务人员不良执业行为纠正力度进一步加大，医药购销、物资采购、行政审批、经费管理、医疗行为逐步规范，人民群众健康权益得到进一步维护。</w:t>
      </w:r>
    </w:p>
    <w:p>
      <w:pPr>
        <w:pStyle w:val="3"/>
        <w:kinsoku w:val="0"/>
        <w:overflowPunct w:val="0"/>
        <w:spacing w:line="451"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七、妇幼保健与家庭发展工作积极推进</w:t>
      </w:r>
    </w:p>
    <w:p>
      <w:pPr>
        <w:pStyle w:val="3"/>
        <w:kinsoku w:val="0"/>
        <w:overflowPunct w:val="0"/>
        <w:spacing w:before="96" w:line="328" w:lineRule="auto"/>
        <w:ind w:right="115" w:firstLine="680"/>
        <w:jc w:val="both"/>
        <w:rPr>
          <w:rFonts w:hint="eastAsia"/>
          <w:color w:val="231F20"/>
          <w:spacing w:val="-28"/>
          <w:sz w:val="32"/>
          <w:szCs w:val="24"/>
        </w:rPr>
      </w:pPr>
      <w:r>
        <w:rPr>
          <w:rFonts w:hint="eastAsia"/>
          <w:color w:val="231F20"/>
          <w:sz w:val="32"/>
          <w:szCs w:val="24"/>
        </w:rPr>
        <w:t>“十三五”期间，新区孕产妇健康管理和儿童健康管理水平明显提升。不断健全妇幼工作制度，提高免费婚检率、孕前优生率和新筛率。全面推进农村妇女“两癌”免费检查，成立</w:t>
      </w:r>
      <w:r>
        <w:rPr>
          <w:rFonts w:hint="eastAsia"/>
          <w:color w:val="231F20"/>
          <w:spacing w:val="-5"/>
          <w:sz w:val="32"/>
          <w:szCs w:val="24"/>
        </w:rPr>
        <w:t xml:space="preserve">“两癌”筛查专家团队，共筛查适龄妇女 </w:t>
      </w:r>
      <w:r>
        <w:rPr>
          <w:rFonts w:hint="eastAsia"/>
          <w:color w:val="231F20"/>
          <w:sz w:val="32"/>
          <w:szCs w:val="24"/>
        </w:rPr>
        <w:t>1.8</w:t>
      </w:r>
      <w:r>
        <w:rPr>
          <w:rFonts w:hint="eastAsia"/>
          <w:color w:val="231F20"/>
          <w:spacing w:val="-9"/>
          <w:sz w:val="32"/>
          <w:szCs w:val="24"/>
        </w:rPr>
        <w:t xml:space="preserve"> 万人。落实孕产</w:t>
      </w:r>
      <w:r>
        <w:rPr>
          <w:rFonts w:hint="eastAsia"/>
          <w:color w:val="231F20"/>
          <w:spacing w:val="-1"/>
          <w:sz w:val="32"/>
          <w:szCs w:val="24"/>
        </w:rPr>
        <w:t>妇、新生儿死亡和危重症评审制度，完善转诊及救治网络，孕产妇死亡率、新生儿死亡率明显降低。全面落实计划生育“三</w:t>
      </w:r>
      <w:r>
        <w:rPr>
          <w:rFonts w:hint="eastAsia"/>
          <w:color w:val="231F20"/>
          <w:spacing w:val="-22"/>
          <w:sz w:val="32"/>
          <w:szCs w:val="24"/>
        </w:rPr>
        <w:t xml:space="preserve">项制度”，共奖励扶助 </w:t>
      </w:r>
      <w:r>
        <w:rPr>
          <w:rFonts w:hint="eastAsia"/>
          <w:color w:val="231F20"/>
          <w:sz w:val="32"/>
          <w:szCs w:val="24"/>
        </w:rPr>
        <w:t>1437</w:t>
      </w:r>
      <w:r>
        <w:rPr>
          <w:rFonts w:hint="eastAsia"/>
          <w:color w:val="231F20"/>
          <w:spacing w:val="-24"/>
          <w:sz w:val="32"/>
          <w:szCs w:val="24"/>
        </w:rPr>
        <w:t xml:space="preserve"> 人，落实奖励扶助资金 </w:t>
      </w:r>
      <w:r>
        <w:rPr>
          <w:rFonts w:hint="eastAsia"/>
          <w:color w:val="231F20"/>
          <w:sz w:val="32"/>
          <w:szCs w:val="24"/>
        </w:rPr>
        <w:t>149.2</w:t>
      </w:r>
      <w:r>
        <w:rPr>
          <w:rFonts w:hint="eastAsia"/>
          <w:color w:val="231F20"/>
          <w:spacing w:val="-28"/>
          <w:sz w:val="32"/>
          <w:szCs w:val="24"/>
        </w:rPr>
        <w:t xml:space="preserve"> 万元。</w:t>
      </w:r>
    </w:p>
    <w:p>
      <w:pPr>
        <w:pStyle w:val="3"/>
        <w:kinsoku w:val="0"/>
        <w:overflowPunct w:val="0"/>
        <w:spacing w:line="398" w:lineRule="exact"/>
        <w:jc w:val="both"/>
        <w:rPr>
          <w:rFonts w:hint="eastAsia"/>
          <w:color w:val="231F20"/>
          <w:spacing w:val="-27"/>
          <w:sz w:val="32"/>
          <w:szCs w:val="24"/>
        </w:rPr>
      </w:pPr>
      <w:r>
        <w:rPr>
          <w:rFonts w:hint="eastAsia"/>
          <w:color w:val="231F20"/>
          <w:spacing w:val="-16"/>
          <w:sz w:val="32"/>
          <w:szCs w:val="24"/>
        </w:rPr>
        <w:t xml:space="preserve">特别扶助 </w:t>
      </w:r>
      <w:r>
        <w:rPr>
          <w:rFonts w:hint="eastAsia"/>
          <w:color w:val="231F20"/>
          <w:sz w:val="32"/>
          <w:szCs w:val="24"/>
        </w:rPr>
        <w:t>21</w:t>
      </w:r>
      <w:r>
        <w:rPr>
          <w:rFonts w:hint="eastAsia"/>
          <w:color w:val="231F20"/>
          <w:spacing w:val="-16"/>
          <w:sz w:val="32"/>
          <w:szCs w:val="24"/>
        </w:rPr>
        <w:t xml:space="preserve"> 人，失独家庭一次性救助 </w:t>
      </w:r>
      <w:r>
        <w:rPr>
          <w:rFonts w:hint="eastAsia"/>
          <w:color w:val="231F20"/>
          <w:sz w:val="32"/>
          <w:szCs w:val="24"/>
        </w:rPr>
        <w:t>2</w:t>
      </w:r>
      <w:r>
        <w:rPr>
          <w:rFonts w:hint="eastAsia"/>
          <w:color w:val="231F20"/>
          <w:spacing w:val="-22"/>
          <w:sz w:val="32"/>
          <w:szCs w:val="24"/>
        </w:rPr>
        <w:t xml:space="preserve"> 户，特困救助 </w:t>
      </w:r>
      <w:r>
        <w:rPr>
          <w:rFonts w:hint="eastAsia"/>
          <w:color w:val="231F20"/>
          <w:sz w:val="32"/>
          <w:szCs w:val="24"/>
        </w:rPr>
        <w:t>66</w:t>
      </w:r>
      <w:r>
        <w:rPr>
          <w:rFonts w:hint="eastAsia"/>
          <w:color w:val="231F20"/>
          <w:spacing w:val="-27"/>
          <w:sz w:val="32"/>
          <w:szCs w:val="24"/>
        </w:rPr>
        <w:t xml:space="preserve"> 人。</w:t>
      </w:r>
    </w:p>
    <w:p>
      <w:pPr>
        <w:pStyle w:val="3"/>
        <w:kinsoku w:val="0"/>
        <w:overflowPunct w:val="0"/>
        <w:spacing w:before="109"/>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八、健康扶贫工作成效显著</w:t>
      </w:r>
    </w:p>
    <w:p>
      <w:pPr>
        <w:pStyle w:val="3"/>
        <w:kinsoku w:val="0"/>
        <w:overflowPunct w:val="0"/>
        <w:spacing w:before="96"/>
        <w:ind w:left="957"/>
        <w:jc w:val="both"/>
        <w:rPr>
          <w:rFonts w:hint="eastAsia"/>
          <w:color w:val="231F20"/>
          <w:sz w:val="32"/>
          <w:szCs w:val="24"/>
        </w:rPr>
      </w:pPr>
      <w:r>
        <w:rPr>
          <w:rFonts w:hint="eastAsia"/>
          <w:color w:val="231F20"/>
          <w:sz w:val="32"/>
          <w:szCs w:val="24"/>
        </w:rPr>
        <w:t>“十三五”期间，筹措资金 180 万元对新区 45 个村卫生</w:t>
      </w:r>
    </w:p>
    <w:p>
      <w:pPr>
        <w:pStyle w:val="3"/>
        <w:kinsoku w:val="0"/>
        <w:overflowPunct w:val="0"/>
        <w:spacing w:before="150" w:line="328" w:lineRule="auto"/>
        <w:ind w:right="115"/>
        <w:jc w:val="both"/>
        <w:rPr>
          <w:rFonts w:hint="eastAsia"/>
          <w:color w:val="231F20"/>
          <w:spacing w:val="-15"/>
          <w:sz w:val="32"/>
          <w:szCs w:val="24"/>
        </w:rPr>
      </w:pPr>
      <w:r>
        <w:rPr>
          <w:rFonts w:hint="eastAsia"/>
          <w:color w:val="231F20"/>
          <w:spacing w:val="3"/>
          <w:sz w:val="32"/>
          <w:szCs w:val="24"/>
        </w:rPr>
        <w:t xml:space="preserve">室进行一体化改造，卫生室、社区卫生服务站面积均达 </w:t>
      </w:r>
      <w:r>
        <w:rPr>
          <w:rFonts w:hint="eastAsia"/>
          <w:color w:val="231F20"/>
          <w:sz w:val="32"/>
          <w:szCs w:val="24"/>
        </w:rPr>
        <w:t>60</w:t>
      </w:r>
      <w:r>
        <w:rPr>
          <w:rFonts w:hint="eastAsia"/>
          <w:color w:val="231F20"/>
          <w:spacing w:val="-39"/>
          <w:sz w:val="32"/>
          <w:szCs w:val="24"/>
        </w:rPr>
        <w:t xml:space="preserve"> 平</w:t>
      </w:r>
      <w:r>
        <w:rPr>
          <w:rFonts w:hint="eastAsia"/>
          <w:color w:val="231F20"/>
          <w:sz w:val="32"/>
          <w:szCs w:val="24"/>
        </w:rPr>
        <w:t>方米以上，“三室”分开，基本诊疗设备配齐，卫生室均配有合格村医，全部达到《甘肃省乡村医生管理办法》要求，按规</w:t>
      </w:r>
      <w:r>
        <w:rPr>
          <w:rFonts w:hint="eastAsia"/>
          <w:color w:val="231F20"/>
          <w:spacing w:val="-8"/>
          <w:sz w:val="32"/>
          <w:szCs w:val="24"/>
        </w:rPr>
        <w:t>定在岗执业。</w:t>
      </w:r>
      <w:r>
        <w:rPr>
          <w:rFonts w:hint="eastAsia"/>
          <w:color w:val="231F20"/>
          <w:sz w:val="32"/>
          <w:szCs w:val="24"/>
        </w:rPr>
        <w:t>2020</w:t>
      </w:r>
      <w:r>
        <w:rPr>
          <w:rFonts w:hint="eastAsia"/>
          <w:color w:val="231F20"/>
          <w:spacing w:val="-38"/>
          <w:sz w:val="32"/>
          <w:szCs w:val="24"/>
        </w:rPr>
        <w:t xml:space="preserve"> 年投资 </w:t>
      </w:r>
      <w:r>
        <w:rPr>
          <w:rFonts w:hint="eastAsia"/>
          <w:color w:val="231F20"/>
          <w:sz w:val="32"/>
          <w:szCs w:val="24"/>
        </w:rPr>
        <w:t>2045.43</w:t>
      </w:r>
      <w:r>
        <w:rPr>
          <w:rFonts w:hint="eastAsia"/>
          <w:color w:val="231F20"/>
          <w:spacing w:val="-34"/>
          <w:sz w:val="32"/>
          <w:szCs w:val="24"/>
        </w:rPr>
        <w:t xml:space="preserve"> 万元，建成 </w:t>
      </w:r>
      <w:r>
        <w:rPr>
          <w:rFonts w:hint="eastAsia"/>
          <w:color w:val="231F20"/>
          <w:sz w:val="32"/>
          <w:szCs w:val="24"/>
        </w:rPr>
        <w:t>1</w:t>
      </w:r>
      <w:r>
        <w:rPr>
          <w:rFonts w:hint="eastAsia"/>
          <w:color w:val="231F20"/>
          <w:spacing w:val="-15"/>
          <w:sz w:val="32"/>
          <w:szCs w:val="24"/>
        </w:rPr>
        <w:t xml:space="preserve"> 所综合门诊部、</w:t>
      </w:r>
    </w:p>
    <w:p>
      <w:pPr>
        <w:pStyle w:val="3"/>
        <w:kinsoku w:val="0"/>
        <w:overflowPunct w:val="0"/>
        <w:spacing w:line="328" w:lineRule="auto"/>
        <w:ind w:right="259"/>
        <w:jc w:val="both"/>
        <w:rPr>
          <w:rFonts w:hint="eastAsia"/>
          <w:color w:val="231F20"/>
          <w:spacing w:val="-5"/>
          <w:sz w:val="32"/>
          <w:szCs w:val="24"/>
        </w:rPr>
      </w:pPr>
      <w:r>
        <w:rPr>
          <w:rFonts w:hint="eastAsia"/>
          <w:color w:val="231F20"/>
          <w:sz w:val="32"/>
          <w:szCs w:val="24"/>
        </w:rPr>
        <w:t>1</w:t>
      </w:r>
      <w:r>
        <w:rPr>
          <w:rFonts w:hint="eastAsia"/>
          <w:color w:val="231F20"/>
          <w:spacing w:val="-3"/>
          <w:sz w:val="32"/>
          <w:szCs w:val="24"/>
        </w:rPr>
        <w:t xml:space="preserve"> 个社区卫生服务中心、</w:t>
      </w:r>
      <w:r>
        <w:rPr>
          <w:rFonts w:hint="eastAsia"/>
          <w:color w:val="231F20"/>
          <w:sz w:val="32"/>
          <w:szCs w:val="24"/>
        </w:rPr>
        <w:t>3</w:t>
      </w:r>
      <w:r>
        <w:rPr>
          <w:rFonts w:hint="eastAsia"/>
          <w:color w:val="231F20"/>
          <w:spacing w:val="-8"/>
          <w:sz w:val="32"/>
          <w:szCs w:val="24"/>
        </w:rPr>
        <w:t xml:space="preserve"> 个社区卫生服务站，总面积 </w:t>
      </w:r>
      <w:r>
        <w:rPr>
          <w:rFonts w:hint="eastAsia"/>
          <w:color w:val="231F20"/>
          <w:sz w:val="32"/>
          <w:szCs w:val="24"/>
        </w:rPr>
        <w:t xml:space="preserve">9369.8 </w:t>
      </w:r>
      <w:r>
        <w:rPr>
          <w:rFonts w:hint="eastAsia"/>
          <w:color w:val="231F20"/>
          <w:spacing w:val="-5"/>
          <w:sz w:val="32"/>
          <w:szCs w:val="24"/>
        </w:rPr>
        <w:t>平方米 , 完善城市社区卫生服务网络 , 切实解决老百姓看病</w:t>
      </w:r>
    </w:p>
    <w:p>
      <w:pPr>
        <w:pStyle w:val="3"/>
        <w:kinsoku w:val="0"/>
        <w:overflowPunct w:val="0"/>
        <w:spacing w:line="328" w:lineRule="auto"/>
        <w:ind w:right="259"/>
        <w:jc w:val="both"/>
        <w:rPr>
          <w:rFonts w:hint="eastAsia"/>
          <w:color w:val="231F20"/>
          <w:spacing w:val="-5"/>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64"/>
        <w:jc w:val="both"/>
        <w:rPr>
          <w:rFonts w:hint="eastAsia"/>
          <w:color w:val="231F20"/>
          <w:sz w:val="32"/>
          <w:szCs w:val="24"/>
        </w:rPr>
      </w:pPr>
      <w:r>
        <w:rPr>
          <w:rFonts w:hint="eastAsia"/>
          <w:color w:val="231F20"/>
          <w:spacing w:val="-1"/>
          <w:sz w:val="32"/>
          <w:szCs w:val="24"/>
        </w:rPr>
        <w:t xml:space="preserve">难、看病远的问题。组建 </w:t>
      </w:r>
      <w:r>
        <w:rPr>
          <w:rFonts w:hint="eastAsia"/>
          <w:color w:val="231F20"/>
          <w:sz w:val="32"/>
          <w:szCs w:val="24"/>
        </w:rPr>
        <w:t>54 个医疗帮扶团队，对全部建档立卡贫困户进行入户调查，签订家庭医生服务包，按照“一人一策”要求制定帮扶措施和台账。建档立卡贫困户家庭医生签约14902</w:t>
      </w:r>
      <w:r>
        <w:rPr>
          <w:rFonts w:hint="eastAsia"/>
          <w:color w:val="231F20"/>
          <w:spacing w:val="-16"/>
          <w:sz w:val="32"/>
          <w:szCs w:val="24"/>
        </w:rPr>
        <w:t xml:space="preserve"> 人，签约率 </w:t>
      </w:r>
      <w:r>
        <w:rPr>
          <w:rFonts w:hint="eastAsia"/>
          <w:color w:val="231F20"/>
          <w:sz w:val="32"/>
          <w:szCs w:val="24"/>
        </w:rPr>
        <w:t>99.6%</w:t>
      </w:r>
      <w:r>
        <w:rPr>
          <w:rFonts w:hint="eastAsia"/>
          <w:color w:val="231F20"/>
          <w:spacing w:val="-2"/>
          <w:sz w:val="32"/>
          <w:szCs w:val="24"/>
        </w:rPr>
        <w:t xml:space="preserve">。完成入户 </w:t>
      </w:r>
      <w:r>
        <w:rPr>
          <w:rFonts w:hint="eastAsia"/>
          <w:color w:val="231F20"/>
          <w:sz w:val="32"/>
          <w:szCs w:val="24"/>
        </w:rPr>
        <w:t>11742 人次、帮扶措施制</w:t>
      </w:r>
    </w:p>
    <w:p>
      <w:pPr>
        <w:pStyle w:val="3"/>
        <w:kinsoku w:val="0"/>
        <w:overflowPunct w:val="0"/>
        <w:spacing w:line="403" w:lineRule="exact"/>
        <w:jc w:val="both"/>
        <w:rPr>
          <w:rFonts w:hint="eastAsia"/>
          <w:color w:val="231F20"/>
          <w:spacing w:val="-25"/>
          <w:sz w:val="32"/>
          <w:szCs w:val="24"/>
        </w:rPr>
      </w:pPr>
      <w:r>
        <w:rPr>
          <w:rFonts w:hint="eastAsia"/>
          <w:color w:val="231F20"/>
          <w:spacing w:val="-49"/>
          <w:sz w:val="32"/>
          <w:szCs w:val="24"/>
        </w:rPr>
        <w:t xml:space="preserve">定 </w:t>
      </w:r>
      <w:r>
        <w:rPr>
          <w:rFonts w:hint="eastAsia"/>
          <w:color w:val="231F20"/>
          <w:sz w:val="32"/>
          <w:szCs w:val="24"/>
        </w:rPr>
        <w:t>14963</w:t>
      </w:r>
      <w:r>
        <w:rPr>
          <w:rFonts w:hint="eastAsia"/>
          <w:color w:val="231F20"/>
          <w:spacing w:val="-31"/>
          <w:sz w:val="32"/>
          <w:szCs w:val="24"/>
        </w:rPr>
        <w:t xml:space="preserve"> 人次、健康教育 </w:t>
      </w:r>
      <w:r>
        <w:rPr>
          <w:rFonts w:hint="eastAsia"/>
          <w:color w:val="231F20"/>
          <w:sz w:val="32"/>
          <w:szCs w:val="24"/>
        </w:rPr>
        <w:t>30727</w:t>
      </w:r>
      <w:r>
        <w:rPr>
          <w:rFonts w:hint="eastAsia"/>
          <w:color w:val="231F20"/>
          <w:spacing w:val="-26"/>
          <w:sz w:val="32"/>
          <w:szCs w:val="24"/>
        </w:rPr>
        <w:t xml:space="preserve"> 人次，开展送医上门 </w:t>
      </w:r>
      <w:r>
        <w:rPr>
          <w:rFonts w:hint="eastAsia"/>
          <w:color w:val="231F20"/>
          <w:sz w:val="32"/>
          <w:szCs w:val="24"/>
        </w:rPr>
        <w:t>9247</w:t>
      </w:r>
      <w:r>
        <w:rPr>
          <w:rFonts w:hint="eastAsia"/>
          <w:color w:val="231F20"/>
          <w:spacing w:val="-25"/>
          <w:sz w:val="32"/>
          <w:szCs w:val="24"/>
        </w:rPr>
        <w:t xml:space="preserve"> 人次，</w:t>
      </w:r>
    </w:p>
    <w:p>
      <w:pPr>
        <w:pStyle w:val="3"/>
        <w:kinsoku w:val="0"/>
        <w:overflowPunct w:val="0"/>
        <w:spacing w:before="150"/>
        <w:jc w:val="both"/>
        <w:rPr>
          <w:rFonts w:hint="eastAsia"/>
          <w:color w:val="231F20"/>
          <w:sz w:val="32"/>
          <w:szCs w:val="24"/>
        </w:rPr>
      </w:pPr>
      <w:r>
        <w:rPr>
          <w:rFonts w:hint="eastAsia"/>
          <w:color w:val="231F20"/>
          <w:sz w:val="32"/>
          <w:szCs w:val="24"/>
        </w:rPr>
        <w:t>送人就医 150 人次，康复指导 766 人次，核准评估辖区贫困失</w:t>
      </w:r>
    </w:p>
    <w:p>
      <w:pPr>
        <w:pStyle w:val="3"/>
        <w:kinsoku w:val="0"/>
        <w:overflowPunct w:val="0"/>
        <w:spacing w:before="150"/>
        <w:jc w:val="both"/>
        <w:rPr>
          <w:rFonts w:hint="eastAsia"/>
          <w:color w:val="231F20"/>
          <w:sz w:val="32"/>
          <w:szCs w:val="24"/>
        </w:rPr>
      </w:pPr>
      <w:r>
        <w:rPr>
          <w:rFonts w:hint="eastAsia"/>
          <w:color w:val="231F20"/>
          <w:sz w:val="32"/>
          <w:szCs w:val="24"/>
        </w:rPr>
        <w:t>能老年人 1776 人次。顺利完成健康扶贫国家和省级验收。</w:t>
      </w:r>
    </w:p>
    <w:p>
      <w:pPr>
        <w:pStyle w:val="3"/>
        <w:kinsoku w:val="0"/>
        <w:overflowPunct w:val="0"/>
        <w:spacing w:before="108"/>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九、人才队伍建设卓有成效</w:t>
      </w:r>
    </w:p>
    <w:p>
      <w:pPr>
        <w:pStyle w:val="3"/>
        <w:kinsoku w:val="0"/>
        <w:overflowPunct w:val="0"/>
        <w:spacing w:before="97" w:line="328" w:lineRule="auto"/>
        <w:ind w:right="257" w:firstLine="680"/>
        <w:jc w:val="both"/>
        <w:rPr>
          <w:rFonts w:hint="eastAsia"/>
          <w:color w:val="231F20"/>
          <w:spacing w:val="-1"/>
          <w:sz w:val="32"/>
          <w:szCs w:val="24"/>
        </w:rPr>
      </w:pPr>
      <w:r>
        <w:rPr>
          <w:rFonts w:hint="eastAsia"/>
          <w:color w:val="231F20"/>
          <w:sz w:val="32"/>
          <w:szCs w:val="24"/>
        </w:rPr>
        <w:t>“十三五”期间，新区打破医疗卫生人才身份、编制、年龄等限制，出台《兰州新区医疗卫生人才引进实施办法》，从</w:t>
      </w:r>
      <w:r>
        <w:rPr>
          <w:rFonts w:hint="eastAsia"/>
          <w:color w:val="231F20"/>
          <w:spacing w:val="2"/>
          <w:sz w:val="32"/>
          <w:szCs w:val="24"/>
        </w:rPr>
        <w:t>全国范围内公开选招引进医疗卫生人才。为基层医疗卫生机构</w:t>
      </w:r>
      <w:r>
        <w:rPr>
          <w:rFonts w:hint="eastAsia"/>
          <w:color w:val="231F20"/>
          <w:spacing w:val="-10"/>
          <w:sz w:val="32"/>
          <w:szCs w:val="24"/>
        </w:rPr>
        <w:t xml:space="preserve">公开选拔 </w:t>
      </w:r>
      <w:r>
        <w:rPr>
          <w:rFonts w:hint="eastAsia"/>
          <w:color w:val="231F20"/>
          <w:sz w:val="32"/>
          <w:szCs w:val="24"/>
        </w:rPr>
        <w:t>11 名领导干部；对引进的副高级及以上职称专业技术人才落实住房、安家费、工作补贴等待遇，最大限度扩展人才引进渠道和广度，卫生人才队伍不断壮大。卫生健康系统人</w:t>
      </w:r>
      <w:r>
        <w:rPr>
          <w:rFonts w:hint="eastAsia"/>
          <w:color w:val="231F20"/>
          <w:spacing w:val="-6"/>
          <w:sz w:val="32"/>
          <w:szCs w:val="24"/>
        </w:rPr>
        <w:t xml:space="preserve">员编制由 </w:t>
      </w:r>
      <w:r>
        <w:rPr>
          <w:rFonts w:hint="eastAsia"/>
          <w:color w:val="231F20"/>
          <w:sz w:val="32"/>
          <w:szCs w:val="24"/>
        </w:rPr>
        <w:t>2016</w:t>
      </w:r>
      <w:r>
        <w:rPr>
          <w:rFonts w:hint="eastAsia"/>
          <w:color w:val="231F20"/>
          <w:spacing w:val="-34"/>
          <w:sz w:val="32"/>
          <w:szCs w:val="24"/>
        </w:rPr>
        <w:t xml:space="preserve"> 年的 </w:t>
      </w:r>
      <w:r>
        <w:rPr>
          <w:rFonts w:hint="eastAsia"/>
          <w:color w:val="231F20"/>
          <w:sz w:val="32"/>
          <w:szCs w:val="24"/>
        </w:rPr>
        <w:t>94</w:t>
      </w:r>
      <w:r>
        <w:rPr>
          <w:rFonts w:hint="eastAsia"/>
          <w:color w:val="231F20"/>
          <w:spacing w:val="-18"/>
          <w:sz w:val="32"/>
          <w:szCs w:val="24"/>
        </w:rPr>
        <w:t xml:space="preserve"> 人增加到 </w:t>
      </w:r>
      <w:r>
        <w:rPr>
          <w:rFonts w:hint="eastAsia"/>
          <w:color w:val="231F20"/>
          <w:sz w:val="32"/>
          <w:szCs w:val="24"/>
        </w:rPr>
        <w:t>2020</w:t>
      </w:r>
      <w:r>
        <w:rPr>
          <w:rFonts w:hint="eastAsia"/>
          <w:color w:val="231F20"/>
          <w:spacing w:val="-34"/>
          <w:sz w:val="32"/>
          <w:szCs w:val="24"/>
        </w:rPr>
        <w:t xml:space="preserve"> 年的 </w:t>
      </w:r>
      <w:r>
        <w:rPr>
          <w:rFonts w:hint="eastAsia"/>
          <w:color w:val="231F20"/>
          <w:sz w:val="32"/>
          <w:szCs w:val="24"/>
        </w:rPr>
        <w:t>537</w:t>
      </w:r>
      <w:r>
        <w:rPr>
          <w:rFonts w:hint="eastAsia"/>
          <w:color w:val="231F20"/>
          <w:spacing w:val="-1"/>
          <w:sz w:val="32"/>
          <w:szCs w:val="24"/>
        </w:rPr>
        <w:t xml:space="preserve"> 人。五年来累</w:t>
      </w:r>
    </w:p>
    <w:p>
      <w:pPr>
        <w:pStyle w:val="3"/>
        <w:kinsoku w:val="0"/>
        <w:overflowPunct w:val="0"/>
        <w:spacing w:line="398" w:lineRule="exact"/>
        <w:jc w:val="both"/>
        <w:rPr>
          <w:rFonts w:hint="eastAsia"/>
          <w:color w:val="231F20"/>
          <w:spacing w:val="-15"/>
          <w:sz w:val="32"/>
          <w:szCs w:val="24"/>
        </w:rPr>
      </w:pPr>
      <w:r>
        <w:rPr>
          <w:rFonts w:hint="eastAsia"/>
          <w:color w:val="231F20"/>
          <w:spacing w:val="-4"/>
          <w:sz w:val="32"/>
          <w:szCs w:val="24"/>
        </w:rPr>
        <w:t xml:space="preserve">计公开选调、选聘医疗卫生人才 </w:t>
      </w:r>
      <w:r>
        <w:rPr>
          <w:rFonts w:hint="eastAsia"/>
          <w:color w:val="231F20"/>
          <w:sz w:val="32"/>
          <w:szCs w:val="24"/>
        </w:rPr>
        <w:t>748</w:t>
      </w:r>
      <w:r>
        <w:rPr>
          <w:rFonts w:hint="eastAsia"/>
          <w:color w:val="231F20"/>
          <w:spacing w:val="-20"/>
          <w:sz w:val="32"/>
          <w:szCs w:val="24"/>
        </w:rPr>
        <w:t xml:space="preserve"> 人，其中正高 </w:t>
      </w:r>
      <w:r>
        <w:rPr>
          <w:rFonts w:hint="eastAsia"/>
          <w:color w:val="231F20"/>
          <w:sz w:val="32"/>
          <w:szCs w:val="24"/>
        </w:rPr>
        <w:t>8</w:t>
      </w:r>
      <w:r>
        <w:rPr>
          <w:rFonts w:hint="eastAsia"/>
          <w:color w:val="231F20"/>
          <w:spacing w:val="-15"/>
          <w:sz w:val="32"/>
          <w:szCs w:val="24"/>
        </w:rPr>
        <w:t xml:space="preserve"> 人、副高</w:t>
      </w:r>
    </w:p>
    <w:p>
      <w:pPr>
        <w:pStyle w:val="3"/>
        <w:kinsoku w:val="0"/>
        <w:overflowPunct w:val="0"/>
        <w:spacing w:before="150"/>
        <w:jc w:val="both"/>
        <w:rPr>
          <w:rFonts w:hint="eastAsia"/>
          <w:color w:val="231F20"/>
          <w:spacing w:val="-2"/>
          <w:sz w:val="32"/>
          <w:szCs w:val="24"/>
        </w:rPr>
      </w:pPr>
      <w:r>
        <w:rPr>
          <w:rFonts w:hint="eastAsia"/>
          <w:color w:val="231F20"/>
          <w:sz w:val="32"/>
          <w:szCs w:val="24"/>
        </w:rPr>
        <w:t>55</w:t>
      </w:r>
      <w:r>
        <w:rPr>
          <w:rFonts w:hint="eastAsia"/>
          <w:color w:val="231F20"/>
          <w:spacing w:val="-24"/>
          <w:sz w:val="32"/>
          <w:szCs w:val="24"/>
        </w:rPr>
        <w:t xml:space="preserve"> 人、中级 </w:t>
      </w:r>
      <w:r>
        <w:rPr>
          <w:rFonts w:hint="eastAsia"/>
          <w:color w:val="231F20"/>
          <w:sz w:val="32"/>
          <w:szCs w:val="24"/>
        </w:rPr>
        <w:t>92</w:t>
      </w:r>
      <w:r>
        <w:rPr>
          <w:rFonts w:hint="eastAsia"/>
          <w:color w:val="231F20"/>
          <w:spacing w:val="-23"/>
          <w:sz w:val="32"/>
          <w:szCs w:val="24"/>
        </w:rPr>
        <w:t xml:space="preserve"> 人、初级 </w:t>
      </w:r>
      <w:r>
        <w:rPr>
          <w:rFonts w:hint="eastAsia"/>
          <w:color w:val="231F20"/>
          <w:sz w:val="32"/>
          <w:szCs w:val="24"/>
        </w:rPr>
        <w:t>593</w:t>
      </w:r>
      <w:r>
        <w:rPr>
          <w:rFonts w:hint="eastAsia"/>
          <w:color w:val="231F20"/>
          <w:spacing w:val="-2"/>
          <w:sz w:val="32"/>
          <w:szCs w:val="24"/>
        </w:rPr>
        <w:t xml:space="preserve"> 人。各医疗机构累计派出进修学</w:t>
      </w:r>
    </w:p>
    <w:p>
      <w:pPr>
        <w:pStyle w:val="3"/>
        <w:kinsoku w:val="0"/>
        <w:overflowPunct w:val="0"/>
        <w:spacing w:before="150" w:line="328" w:lineRule="auto"/>
        <w:ind w:right="275"/>
        <w:jc w:val="both"/>
        <w:rPr>
          <w:rFonts w:hint="eastAsia"/>
          <w:color w:val="231F20"/>
          <w:sz w:val="32"/>
          <w:szCs w:val="24"/>
        </w:rPr>
      </w:pPr>
      <w:r>
        <w:rPr>
          <w:rFonts w:hint="eastAsia"/>
          <w:color w:val="231F20"/>
          <w:spacing w:val="-13"/>
          <w:sz w:val="32"/>
          <w:szCs w:val="24"/>
        </w:rPr>
        <w:t xml:space="preserve">习人员 </w:t>
      </w:r>
      <w:r>
        <w:rPr>
          <w:rFonts w:hint="eastAsia"/>
          <w:color w:val="231F20"/>
          <w:sz w:val="32"/>
          <w:szCs w:val="24"/>
        </w:rPr>
        <w:t>75</w:t>
      </w:r>
      <w:r>
        <w:rPr>
          <w:rFonts w:hint="eastAsia"/>
          <w:color w:val="231F20"/>
          <w:spacing w:val="-14"/>
          <w:sz w:val="32"/>
          <w:szCs w:val="24"/>
        </w:rPr>
        <w:t xml:space="preserve"> 人，短期培训 </w:t>
      </w:r>
      <w:r>
        <w:rPr>
          <w:rFonts w:hint="eastAsia"/>
          <w:color w:val="231F20"/>
          <w:sz w:val="32"/>
          <w:szCs w:val="24"/>
        </w:rPr>
        <w:t>120 人次，初步实现了“骨干进修、全员培训”的目标。</w:t>
      </w:r>
    </w:p>
    <w:p>
      <w:pPr>
        <w:pStyle w:val="3"/>
        <w:kinsoku w:val="0"/>
        <w:overflowPunct w:val="0"/>
        <w:spacing w:line="460"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十、疫情防控与经济社会发展统筹推进</w:t>
      </w:r>
    </w:p>
    <w:p>
      <w:pPr>
        <w:pStyle w:val="3"/>
        <w:kinsoku w:val="0"/>
        <w:overflowPunct w:val="0"/>
        <w:spacing w:before="96" w:line="328" w:lineRule="auto"/>
        <w:ind w:right="261" w:firstLine="680"/>
        <w:jc w:val="both"/>
        <w:rPr>
          <w:rFonts w:hint="eastAsia"/>
          <w:color w:val="231F20"/>
          <w:sz w:val="32"/>
          <w:szCs w:val="24"/>
        </w:rPr>
      </w:pPr>
      <w:r>
        <w:rPr>
          <w:rFonts w:hint="eastAsia"/>
          <w:color w:val="231F20"/>
          <w:sz w:val="32"/>
          <w:szCs w:val="24"/>
        </w:rPr>
        <w:t>2020 年初，新型冠状病毒肺炎疫情爆发以来，兰州新区坚决贯彻党中央国务院和省委省政府决策部署，坚持高站位、早行动、讲科学、求实效，时刻筑牢疫情防控屏障，未发生本土病例，在全国最早组织企业复工复产。将兰州新区商投集团</w:t>
      </w:r>
    </w:p>
    <w:p>
      <w:pPr>
        <w:pStyle w:val="3"/>
        <w:kinsoku w:val="0"/>
        <w:overflowPunct w:val="0"/>
        <w:spacing w:before="96" w:line="328" w:lineRule="auto"/>
        <w:ind w:right="261" w:firstLine="68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rPr>
          <w:rFonts w:hint="eastAsia"/>
          <w:color w:val="231F20"/>
          <w:spacing w:val="-7"/>
          <w:sz w:val="32"/>
          <w:szCs w:val="24"/>
        </w:rPr>
      </w:pPr>
      <w:r>
        <w:rPr>
          <w:rFonts w:hint="eastAsia"/>
          <w:color w:val="231F20"/>
          <w:spacing w:val="-15"/>
          <w:sz w:val="32"/>
          <w:szCs w:val="24"/>
        </w:rPr>
        <w:t xml:space="preserve">综保名苑 </w:t>
      </w:r>
      <w:r>
        <w:rPr>
          <w:rFonts w:hint="eastAsia"/>
          <w:color w:val="231F20"/>
          <w:sz w:val="32"/>
          <w:szCs w:val="24"/>
        </w:rPr>
        <w:t>8</w:t>
      </w:r>
      <w:r>
        <w:rPr>
          <w:rFonts w:hint="eastAsia"/>
          <w:color w:val="231F20"/>
          <w:spacing w:val="-7"/>
          <w:sz w:val="32"/>
          <w:szCs w:val="24"/>
        </w:rPr>
        <w:t xml:space="preserve"> 栋公寓楼打造成为兰州新区后备医院集中隔离点，</w:t>
      </w:r>
    </w:p>
    <w:p>
      <w:pPr>
        <w:pStyle w:val="3"/>
        <w:kinsoku w:val="0"/>
        <w:overflowPunct w:val="0"/>
        <w:spacing w:before="150"/>
        <w:rPr>
          <w:rFonts w:hint="eastAsia"/>
          <w:color w:val="231F20"/>
          <w:sz w:val="32"/>
          <w:szCs w:val="24"/>
        </w:rPr>
      </w:pPr>
      <w:r>
        <w:rPr>
          <w:rFonts w:hint="eastAsia"/>
          <w:color w:val="231F20"/>
          <w:sz w:val="32"/>
          <w:szCs w:val="24"/>
        </w:rPr>
        <w:t>拥有标准化隔离房间 1141 间，承接全国首家入境包机集中隔</w:t>
      </w:r>
    </w:p>
    <w:p>
      <w:pPr>
        <w:pStyle w:val="3"/>
        <w:kinsoku w:val="0"/>
        <w:overflowPunct w:val="0"/>
        <w:spacing w:before="150"/>
        <w:rPr>
          <w:rFonts w:hint="eastAsia"/>
          <w:color w:val="231F20"/>
          <w:sz w:val="32"/>
          <w:szCs w:val="24"/>
        </w:rPr>
      </w:pPr>
      <w:r>
        <w:rPr>
          <w:rFonts w:hint="eastAsia"/>
          <w:color w:val="231F20"/>
          <w:spacing w:val="2"/>
          <w:sz w:val="32"/>
          <w:szCs w:val="24"/>
        </w:rPr>
        <w:t xml:space="preserve">离医学观察任务，截至 </w:t>
      </w:r>
      <w:r>
        <w:rPr>
          <w:rFonts w:hint="eastAsia"/>
          <w:color w:val="231F20"/>
          <w:sz w:val="32"/>
          <w:szCs w:val="24"/>
        </w:rPr>
        <w:t>2020</w:t>
      </w:r>
      <w:r>
        <w:rPr>
          <w:rFonts w:hint="eastAsia"/>
          <w:color w:val="231F20"/>
          <w:spacing w:val="-52"/>
          <w:sz w:val="32"/>
          <w:szCs w:val="24"/>
        </w:rPr>
        <w:t xml:space="preserve"> 年 </w:t>
      </w:r>
      <w:r>
        <w:rPr>
          <w:rFonts w:hint="eastAsia"/>
          <w:color w:val="231F20"/>
          <w:sz w:val="32"/>
          <w:szCs w:val="24"/>
        </w:rPr>
        <w:t>12</w:t>
      </w:r>
      <w:r>
        <w:rPr>
          <w:rFonts w:hint="eastAsia"/>
          <w:color w:val="231F20"/>
          <w:spacing w:val="-52"/>
          <w:sz w:val="32"/>
          <w:szCs w:val="24"/>
        </w:rPr>
        <w:t xml:space="preserve"> 月 </w:t>
      </w:r>
      <w:r>
        <w:rPr>
          <w:rFonts w:hint="eastAsia"/>
          <w:color w:val="231F20"/>
          <w:sz w:val="32"/>
          <w:szCs w:val="24"/>
        </w:rPr>
        <w:t>31 日，累计留观境外返</w:t>
      </w:r>
    </w:p>
    <w:p>
      <w:pPr>
        <w:pStyle w:val="3"/>
        <w:kinsoku w:val="0"/>
        <w:overflowPunct w:val="0"/>
        <w:spacing w:before="150"/>
        <w:rPr>
          <w:rFonts w:hint="eastAsia"/>
          <w:color w:val="231F20"/>
          <w:spacing w:val="-12"/>
          <w:sz w:val="32"/>
          <w:szCs w:val="24"/>
        </w:rPr>
      </w:pPr>
      <w:r>
        <w:rPr>
          <w:rFonts w:hint="eastAsia"/>
          <w:color w:val="231F20"/>
          <w:spacing w:val="-22"/>
          <w:sz w:val="32"/>
          <w:szCs w:val="24"/>
        </w:rPr>
        <w:t xml:space="preserve">回人员 </w:t>
      </w:r>
      <w:r>
        <w:rPr>
          <w:rFonts w:hint="eastAsia"/>
          <w:color w:val="231F20"/>
          <w:sz w:val="32"/>
          <w:szCs w:val="24"/>
        </w:rPr>
        <w:t>2943</w:t>
      </w:r>
      <w:r>
        <w:rPr>
          <w:rFonts w:hint="eastAsia"/>
          <w:color w:val="231F20"/>
          <w:spacing w:val="-22"/>
          <w:sz w:val="32"/>
          <w:szCs w:val="24"/>
        </w:rPr>
        <w:t xml:space="preserve"> 人、零散返回人员 </w:t>
      </w:r>
      <w:r>
        <w:rPr>
          <w:rFonts w:hint="eastAsia"/>
          <w:color w:val="231F20"/>
          <w:sz w:val="32"/>
          <w:szCs w:val="24"/>
        </w:rPr>
        <w:t>1114</w:t>
      </w:r>
      <w:r>
        <w:rPr>
          <w:rFonts w:hint="eastAsia"/>
          <w:color w:val="231F20"/>
          <w:spacing w:val="-12"/>
          <w:sz w:val="32"/>
          <w:szCs w:val="24"/>
        </w:rPr>
        <w:t xml:space="preserve"> 人，留观检测湖北、北京、</w:t>
      </w:r>
    </w:p>
    <w:p>
      <w:pPr>
        <w:pStyle w:val="3"/>
        <w:kinsoku w:val="0"/>
        <w:overflowPunct w:val="0"/>
        <w:spacing w:before="150" w:line="328" w:lineRule="auto"/>
        <w:ind w:right="264"/>
        <w:jc w:val="both"/>
        <w:rPr>
          <w:rFonts w:hint="eastAsia"/>
          <w:color w:val="231F20"/>
          <w:sz w:val="32"/>
          <w:szCs w:val="24"/>
        </w:rPr>
      </w:pPr>
      <w:r>
        <w:rPr>
          <w:rFonts w:hint="eastAsia"/>
          <w:color w:val="231F20"/>
          <w:sz w:val="32"/>
          <w:szCs w:val="24"/>
        </w:rPr>
        <w:t>新疆、青岛等国内中高风险区来甘人员 4360 人次。实现了医务人员零感染、隔离人员零事故、隔离人员零交叉、后勤保障零失误、解除人员零复阳的“五零”目标，成为全省集中隔离的标杆，创造了“甘肃经验”和“新区样板”，为巩固全省疫情防控成果做出了贡献。</w:t>
      </w:r>
    </w:p>
    <w:p>
      <w:pPr>
        <w:pStyle w:val="3"/>
        <w:kinsoku w:val="0"/>
        <w:overflowPunct w:val="0"/>
        <w:spacing w:line="328" w:lineRule="auto"/>
        <w:ind w:right="270" w:firstLine="680"/>
        <w:jc w:val="both"/>
        <w:rPr>
          <w:rFonts w:hint="eastAsia"/>
          <w:color w:val="231F20"/>
          <w:sz w:val="32"/>
          <w:szCs w:val="24"/>
        </w:rPr>
      </w:pPr>
      <w:r>
        <w:rPr>
          <w:rFonts w:hint="eastAsia"/>
          <w:color w:val="231F20"/>
          <w:sz w:val="32"/>
          <w:szCs w:val="24"/>
        </w:rPr>
        <w:t>面对新形势新任务，新区医疗卫生体系不够健全，工作机制不够完善，供给总量不足、优质资源短缺，整体滞后于全省平均水平。现有卫生资源配置的数量、质量和布局相对滞后于兰州新区整体经济发展水平，新冠肺炎疫情充分暴露了医疗卫生体系的短板、弱项和漏洞，对医疗卫生服务能力和公共卫生体系建设提出了更高的要求。</w:t>
      </w:r>
    </w:p>
    <w:p>
      <w:pPr>
        <w:pStyle w:val="3"/>
        <w:kinsoku w:val="0"/>
        <w:overflowPunct w:val="0"/>
        <w:spacing w:line="328" w:lineRule="auto"/>
        <w:ind w:right="115" w:firstLine="680"/>
        <w:rPr>
          <w:rFonts w:hint="eastAsia"/>
          <w:color w:val="231F20"/>
          <w:spacing w:val="-22"/>
          <w:sz w:val="32"/>
          <w:szCs w:val="24"/>
        </w:rPr>
      </w:pPr>
      <w:r>
        <w:rPr>
          <w:rFonts w:hint="eastAsia"/>
          <w:color w:val="231F20"/>
          <w:sz w:val="32"/>
          <w:szCs w:val="24"/>
        </w:rPr>
        <w:t>“十四五”时期，是兰州新区全面建成小康社会之后、乘</w:t>
      </w:r>
      <w:r>
        <w:rPr>
          <w:rFonts w:hint="eastAsia"/>
          <w:color w:val="231F20"/>
          <w:spacing w:val="2"/>
          <w:sz w:val="32"/>
          <w:szCs w:val="24"/>
        </w:rPr>
        <w:t>势而上开启全面建设社会主义现代化新征程的第一个五年，也</w:t>
      </w:r>
      <w:r>
        <w:rPr>
          <w:rFonts w:hint="eastAsia"/>
          <w:color w:val="231F20"/>
          <w:sz w:val="32"/>
          <w:szCs w:val="24"/>
        </w:rPr>
        <w:t>是充分履行国家赋予的战略使命、全面建成健康新区、实现高</w:t>
      </w:r>
      <w:r>
        <w:rPr>
          <w:rFonts w:hint="eastAsia"/>
          <w:color w:val="231F20"/>
          <w:spacing w:val="-4"/>
          <w:sz w:val="32"/>
          <w:szCs w:val="24"/>
        </w:rPr>
        <w:t>质量快速发展的黄金五年。随着区县协同融合发展、</w:t>
      </w:r>
      <w:r>
        <w:rPr>
          <w:rFonts w:hint="eastAsia"/>
          <w:color w:val="231F20"/>
          <w:sz w:val="32"/>
          <w:szCs w:val="24"/>
        </w:rPr>
        <w:t>“335+X” 产业倍增计划，“兰州—兰州新区—白银”黄河中上游生态修复及水土流失综合治理示范区建设和承接灾后重建移民搬迁安</w:t>
      </w:r>
      <w:r>
        <w:rPr>
          <w:rFonts w:hint="eastAsia"/>
          <w:color w:val="231F20"/>
          <w:spacing w:val="-10"/>
          <w:sz w:val="32"/>
          <w:szCs w:val="24"/>
        </w:rPr>
        <w:t xml:space="preserve">置人员迁居新区，新区将构建承载千万人口、万亿 </w:t>
      </w:r>
      <w:r>
        <w:rPr>
          <w:rFonts w:hint="eastAsia"/>
          <w:color w:val="231F20"/>
          <w:sz w:val="32"/>
          <w:szCs w:val="24"/>
        </w:rPr>
        <w:t>GDP</w:t>
      </w:r>
      <w:r>
        <w:rPr>
          <w:rFonts w:hint="eastAsia"/>
          <w:color w:val="231F20"/>
          <w:spacing w:val="-22"/>
          <w:sz w:val="32"/>
          <w:szCs w:val="24"/>
        </w:rPr>
        <w:t xml:space="preserve"> 的生产、</w:t>
      </w:r>
      <w:r>
        <w:rPr>
          <w:rFonts w:hint="eastAsia"/>
          <w:color w:val="231F20"/>
          <w:spacing w:val="-2"/>
          <w:sz w:val="32"/>
          <w:szCs w:val="24"/>
        </w:rPr>
        <w:t xml:space="preserve">生活、生态空间，预计 </w:t>
      </w:r>
      <w:r>
        <w:rPr>
          <w:rFonts w:hint="eastAsia"/>
          <w:color w:val="231F20"/>
          <w:sz w:val="32"/>
          <w:szCs w:val="24"/>
        </w:rPr>
        <w:t>2025</w:t>
      </w:r>
      <w:r>
        <w:rPr>
          <w:rFonts w:hint="eastAsia"/>
          <w:color w:val="231F20"/>
          <w:spacing w:val="-6"/>
          <w:sz w:val="32"/>
          <w:szCs w:val="24"/>
        </w:rPr>
        <w:t xml:space="preserve"> 年新区常住人口将达到 </w:t>
      </w:r>
      <w:r>
        <w:rPr>
          <w:rFonts w:hint="eastAsia"/>
          <w:color w:val="231F20"/>
          <w:sz w:val="32"/>
          <w:szCs w:val="24"/>
        </w:rPr>
        <w:t>100</w:t>
      </w:r>
      <w:r>
        <w:rPr>
          <w:rFonts w:hint="eastAsia"/>
          <w:color w:val="231F20"/>
          <w:spacing w:val="-22"/>
          <w:sz w:val="32"/>
          <w:szCs w:val="24"/>
        </w:rPr>
        <w:t xml:space="preserve"> 万人以上，必将为卫生健康事业发展带来新的机遇。</w:t>
      </w:r>
    </w:p>
    <w:p>
      <w:pPr>
        <w:pStyle w:val="3"/>
        <w:kinsoku w:val="0"/>
        <w:overflowPunct w:val="0"/>
        <w:spacing w:line="328" w:lineRule="auto"/>
        <w:ind w:right="115" w:firstLine="680"/>
        <w:rPr>
          <w:rFonts w:hint="eastAsia"/>
          <w:color w:val="231F20"/>
          <w:spacing w:val="-22"/>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70" w:firstLine="680"/>
        <w:jc w:val="both"/>
        <w:rPr>
          <w:rFonts w:hint="eastAsia"/>
          <w:color w:val="231F20"/>
          <w:sz w:val="32"/>
          <w:szCs w:val="24"/>
        </w:rPr>
      </w:pPr>
      <w:r>
        <w:rPr>
          <w:rFonts w:hint="eastAsia"/>
          <w:color w:val="231F20"/>
          <w:sz w:val="32"/>
          <w:szCs w:val="24"/>
        </w:rPr>
        <w:t>综合研判，“十四五”时期，新区卫生健康事业处于多重政策机遇的叠加期、促进现代化的起步期、深化改革开放的攻坚期、弥补发展短板的突破期、高质量发展的关键期、缩小差距的窗口期。新区将以新发展理念为指引，全面贯彻落实党的十九届六中全会精神，补短板、强弱项，通过卫生健康事业的跨越式发展，努力将兰州新区打造成为甘肃省乃至西北地区的区域医疗中心。</w:t>
      </w:r>
    </w:p>
    <w:p>
      <w:pPr>
        <w:pStyle w:val="3"/>
        <w:kinsoku w:val="0"/>
        <w:overflowPunct w:val="0"/>
        <w:spacing w:before="56" w:line="328" w:lineRule="auto"/>
        <w:ind w:right="270" w:firstLine="68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ind w:left="0"/>
        <w:rPr>
          <w:rFonts w:hint="eastAsia"/>
          <w:sz w:val="20"/>
          <w:szCs w:val="24"/>
        </w:rPr>
      </w:pPr>
    </w:p>
    <w:p>
      <w:pPr>
        <w:pStyle w:val="3"/>
        <w:kinsoku w:val="0"/>
        <w:overflowPunct w:val="0"/>
        <w:ind w:left="0"/>
        <w:rPr>
          <w:rFonts w:hint="eastAsia"/>
          <w:sz w:val="20"/>
          <w:szCs w:val="24"/>
        </w:rPr>
      </w:pPr>
    </w:p>
    <w:p>
      <w:pPr>
        <w:pStyle w:val="3"/>
        <w:kinsoku w:val="0"/>
        <w:overflowPunct w:val="0"/>
        <w:spacing w:before="1"/>
        <w:ind w:left="0"/>
        <w:rPr>
          <w:rFonts w:hint="eastAsia"/>
          <w:sz w:val="23"/>
          <w:szCs w:val="24"/>
        </w:rPr>
      </w:pPr>
    </w:p>
    <w:p>
      <w:pPr>
        <w:pStyle w:val="2"/>
        <w:tabs>
          <w:tab w:val="left" w:pos="1699"/>
        </w:tabs>
        <w:kinsoku w:val="0"/>
        <w:overflowPunct w:val="0"/>
        <w:spacing w:line="693" w:lineRule="exact"/>
        <w:rPr>
          <w:rFonts w:hint="eastAsia"/>
          <w:color w:val="231F20"/>
          <w:sz w:val="40"/>
          <w:szCs w:val="24"/>
        </w:rPr>
      </w:pPr>
      <w:r>
        <w:rPr>
          <w:rFonts w:hint="eastAsia"/>
          <w:color w:val="231F20"/>
          <w:sz w:val="40"/>
          <w:szCs w:val="24"/>
        </w:rPr>
        <w:t>第二章</w:t>
      </w:r>
      <w:r>
        <w:rPr>
          <w:rFonts w:hint="eastAsia"/>
          <w:color w:val="231F20"/>
          <w:sz w:val="40"/>
          <w:szCs w:val="24"/>
        </w:rPr>
        <w:tab/>
      </w:r>
      <w:r>
        <w:rPr>
          <w:rFonts w:hint="eastAsia"/>
          <w:color w:val="231F20"/>
          <w:sz w:val="40"/>
          <w:szCs w:val="24"/>
        </w:rPr>
        <w:t>总体要求</w:t>
      </w:r>
    </w:p>
    <w:p>
      <w:pPr>
        <w:pStyle w:val="3"/>
        <w:kinsoku w:val="0"/>
        <w:overflowPunct w:val="0"/>
        <w:spacing w:before="13"/>
        <w:ind w:left="0"/>
        <w:rPr>
          <w:rFonts w:hint="eastAsia" w:ascii="方正小标宋简体" w:hAnsi="方正小标宋简体" w:eastAsia="方正小标宋简体"/>
          <w:sz w:val="24"/>
          <w:szCs w:val="24"/>
        </w:rPr>
      </w:pPr>
    </w:p>
    <w:p>
      <w:pPr>
        <w:pStyle w:val="3"/>
        <w:kinsoku w:val="0"/>
        <w:overflowPunct w:val="0"/>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一、指导思想</w:t>
      </w:r>
    </w:p>
    <w:p>
      <w:pPr>
        <w:pStyle w:val="3"/>
        <w:kinsoku w:val="0"/>
        <w:overflowPunct w:val="0"/>
        <w:spacing w:before="97" w:line="328" w:lineRule="auto"/>
        <w:ind w:right="115" w:firstLine="680"/>
        <w:rPr>
          <w:rFonts w:hint="eastAsia"/>
          <w:color w:val="231F20"/>
          <w:sz w:val="32"/>
          <w:szCs w:val="24"/>
        </w:rPr>
      </w:pPr>
      <w:r>
        <w:rPr>
          <w:rFonts w:hint="eastAsia"/>
          <w:color w:val="231F20"/>
          <w:sz w:val="32"/>
          <w:szCs w:val="24"/>
        </w:rPr>
        <w:t>以习近平新时代中国特色社会主义思想为指导，全面贯彻落实党的十九大和十九届二中、三中、四中、五中、六中全会</w:t>
      </w:r>
      <w:r>
        <w:rPr>
          <w:rFonts w:hint="eastAsia"/>
          <w:color w:val="231F20"/>
          <w:spacing w:val="-21"/>
          <w:sz w:val="32"/>
          <w:szCs w:val="24"/>
        </w:rPr>
        <w:t xml:space="preserve">精神，坚持“一切为了人民的健康”，坚决贯彻“以基层为重点， </w:t>
      </w:r>
      <w:r>
        <w:rPr>
          <w:rFonts w:hint="eastAsia"/>
          <w:color w:val="231F20"/>
          <w:sz w:val="32"/>
          <w:szCs w:val="24"/>
        </w:rPr>
        <w:t>以改革创新为动力，预防为主，中西医并重，将健康融入所有</w:t>
      </w:r>
      <w:r>
        <w:rPr>
          <w:rFonts w:hint="eastAsia"/>
          <w:color w:val="231F20"/>
          <w:spacing w:val="-16"/>
          <w:sz w:val="32"/>
          <w:szCs w:val="24"/>
        </w:rPr>
        <w:t>政策，人民共建共享”的卫生健康工作方针，结合兰州新区“四</w:t>
      </w:r>
      <w:r>
        <w:rPr>
          <w:rFonts w:hint="eastAsia"/>
          <w:color w:val="231F20"/>
          <w:sz w:val="32"/>
          <w:szCs w:val="24"/>
        </w:rPr>
        <w:t>区两新”发展定位，充分发挥国家级新区政策和平台优势，以健康新区建设为核心，以完善卫生健康服务体系和提升服务能力为重点，以补足公共卫生体系短板为关键，持续深化医药卫生体制改革，不断推动卫生健康事业高质量发展，满足群众多元化就医需求，将兰州新区卫生健康事业发展成为吸引高端人才集聚、助推经济社会发展的重要保障。</w:t>
      </w:r>
    </w:p>
    <w:p>
      <w:pPr>
        <w:pStyle w:val="3"/>
        <w:kinsoku w:val="0"/>
        <w:overflowPunct w:val="0"/>
        <w:spacing w:line="444"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二、基本原则</w:t>
      </w:r>
    </w:p>
    <w:p>
      <w:pPr>
        <w:pStyle w:val="3"/>
        <w:kinsoku w:val="0"/>
        <w:overflowPunct w:val="0"/>
        <w:spacing w:before="97" w:line="328" w:lineRule="auto"/>
        <w:ind w:right="270" w:firstLine="680"/>
        <w:jc w:val="both"/>
        <w:rPr>
          <w:rFonts w:hint="eastAsia"/>
          <w:color w:val="231F20"/>
          <w:sz w:val="32"/>
          <w:szCs w:val="24"/>
        </w:rPr>
      </w:pPr>
      <w:r>
        <w:rPr>
          <w:rFonts w:hint="default" w:ascii="楷体_GB2312" w:hAnsi="楷体_GB2312" w:eastAsia="楷体_GB2312"/>
          <w:color w:val="231F20"/>
          <w:sz w:val="32"/>
          <w:szCs w:val="24"/>
        </w:rPr>
        <w:t>（一）坚持以人为本，公平可及。</w:t>
      </w:r>
      <w:r>
        <w:rPr>
          <w:rFonts w:hint="eastAsia"/>
          <w:color w:val="231F20"/>
          <w:sz w:val="32"/>
          <w:szCs w:val="24"/>
        </w:rPr>
        <w:t>坚持健康需求导向，以增进居民健康为中心，坚持目标导向和问题导向相结合，坚持把维护人民群众身体健康和生命安全放在首位，把基本医疗卫生服务作为公共产品向城乡全体居民提供，不断提高基本医疗卫生服务质量和效率，让城乡居民共享改革发展成果。</w:t>
      </w:r>
    </w:p>
    <w:p>
      <w:pPr>
        <w:pStyle w:val="3"/>
        <w:kinsoku w:val="0"/>
        <w:overflowPunct w:val="0"/>
        <w:spacing w:line="328" w:lineRule="auto"/>
        <w:ind w:right="270" w:firstLine="680"/>
        <w:jc w:val="both"/>
        <w:rPr>
          <w:rFonts w:hint="eastAsia"/>
          <w:color w:val="231F20"/>
          <w:sz w:val="32"/>
          <w:szCs w:val="24"/>
        </w:rPr>
      </w:pPr>
      <w:r>
        <w:rPr>
          <w:rFonts w:hint="default" w:ascii="楷体_GB2312" w:hAnsi="楷体_GB2312" w:eastAsia="楷体_GB2312"/>
          <w:color w:val="231F20"/>
          <w:sz w:val="32"/>
          <w:szCs w:val="24"/>
        </w:rPr>
        <w:t>（二）坚持政府主导，社会参与。</w:t>
      </w:r>
      <w:r>
        <w:rPr>
          <w:rFonts w:hint="eastAsia"/>
          <w:color w:val="231F20"/>
          <w:sz w:val="32"/>
          <w:szCs w:val="24"/>
        </w:rPr>
        <w:t>突出政府提供公共卫生和基本医疗服务的主导作用，坚持公立医院在医疗服务体系中的主体地位，坚持基本医疗卫生事业公益属性。在非基本医</w:t>
      </w:r>
    </w:p>
    <w:p>
      <w:pPr>
        <w:pStyle w:val="3"/>
        <w:kinsoku w:val="0"/>
        <w:overflowPunct w:val="0"/>
        <w:spacing w:line="328" w:lineRule="auto"/>
        <w:ind w:right="270" w:firstLine="68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jc w:val="both"/>
        <w:rPr>
          <w:rFonts w:hint="eastAsia"/>
          <w:color w:val="231F20"/>
          <w:spacing w:val="-9"/>
          <w:sz w:val="32"/>
          <w:szCs w:val="24"/>
        </w:rPr>
      </w:pPr>
      <w:r>
        <w:rPr>
          <w:rFonts w:hint="eastAsia"/>
          <w:color w:val="231F20"/>
          <w:spacing w:val="3"/>
          <w:sz w:val="32"/>
          <w:szCs w:val="24"/>
        </w:rPr>
        <w:t>疗卫生服务领域大力发挥市场机制在资源配置方面的决定性作</w:t>
      </w:r>
      <w:r>
        <w:rPr>
          <w:rFonts w:hint="eastAsia"/>
          <w:color w:val="231F20"/>
          <w:sz w:val="32"/>
          <w:szCs w:val="24"/>
        </w:rPr>
        <w:t>用，充分调动社会力量的积极性和创造性，支持社会办医，促</w:t>
      </w:r>
      <w:r>
        <w:rPr>
          <w:rFonts w:hint="eastAsia"/>
          <w:color w:val="231F20"/>
          <w:spacing w:val="-9"/>
          <w:sz w:val="32"/>
          <w:szCs w:val="24"/>
        </w:rPr>
        <w:t>进有序竞争，满足人民群众多层次、多元化医疗卫生服务需求。</w:t>
      </w:r>
    </w:p>
    <w:p>
      <w:pPr>
        <w:pStyle w:val="3"/>
        <w:kinsoku w:val="0"/>
        <w:overflowPunct w:val="0"/>
        <w:spacing w:line="328" w:lineRule="auto"/>
        <w:ind w:right="270" w:firstLine="680"/>
        <w:jc w:val="both"/>
        <w:rPr>
          <w:rFonts w:hint="eastAsia"/>
          <w:color w:val="231F20"/>
          <w:sz w:val="32"/>
          <w:szCs w:val="24"/>
        </w:rPr>
      </w:pPr>
      <w:r>
        <w:rPr>
          <w:rFonts w:hint="default" w:ascii="楷体_GB2312" w:hAnsi="楷体_GB2312" w:eastAsia="楷体_GB2312"/>
          <w:color w:val="231F20"/>
          <w:sz w:val="32"/>
          <w:szCs w:val="24"/>
        </w:rPr>
        <w:t>（三）坚持统筹协调，科学发展。</w:t>
      </w:r>
      <w:r>
        <w:rPr>
          <w:rFonts w:hint="eastAsia"/>
          <w:color w:val="231F20"/>
          <w:sz w:val="32"/>
          <w:szCs w:val="24"/>
        </w:rPr>
        <w:t>充分发挥公共卫生服务在促进全民健康素养中的重要作用，进一步优化人口分布和卫生资源配置，整合卫生资源，加强全行业监管与属地化管理， 促进城乡之间、区域之间、中西医之间和预防、医疗与康复之间均衡发展，促进功能整合与分工协作，打造整合型医疗卫生服务体系。</w:t>
      </w:r>
    </w:p>
    <w:p>
      <w:pPr>
        <w:pStyle w:val="3"/>
        <w:kinsoku w:val="0"/>
        <w:overflowPunct w:val="0"/>
        <w:spacing w:line="328" w:lineRule="auto"/>
        <w:ind w:right="273" w:firstLine="680"/>
        <w:jc w:val="both"/>
        <w:rPr>
          <w:rFonts w:hint="eastAsia"/>
          <w:color w:val="231F20"/>
          <w:sz w:val="32"/>
          <w:szCs w:val="24"/>
        </w:rPr>
      </w:pPr>
      <w:r>
        <w:rPr>
          <w:rFonts w:hint="default" w:ascii="楷体_GB2312" w:hAnsi="楷体_GB2312" w:eastAsia="楷体_GB2312"/>
          <w:color w:val="231F20"/>
          <w:sz w:val="32"/>
          <w:szCs w:val="24"/>
        </w:rPr>
        <w:t>（四）坚持改革引领，创新驱动。</w:t>
      </w:r>
      <w:r>
        <w:rPr>
          <w:rFonts w:hint="eastAsia"/>
          <w:color w:val="231F20"/>
          <w:sz w:val="32"/>
          <w:szCs w:val="24"/>
        </w:rPr>
        <w:t>持续深化医药卫生体制改革，处理好政府与市场、公平与效率、激励与约束等关系， 建立保持公益性、调动积极性、保障可持续的长效机制，建立完善适应新形势和新常态的卫生健康事业管理新机制，创新工作理念和方式方法，增强卫生健康事业发展活力。</w:t>
      </w:r>
    </w:p>
    <w:p>
      <w:pPr>
        <w:pStyle w:val="3"/>
        <w:kinsoku w:val="0"/>
        <w:overflowPunct w:val="0"/>
        <w:spacing w:line="455"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三、发展目标</w:t>
      </w:r>
    </w:p>
    <w:p>
      <w:pPr>
        <w:pStyle w:val="3"/>
        <w:kinsoku w:val="0"/>
        <w:overflowPunct w:val="0"/>
        <w:spacing w:before="81" w:line="328" w:lineRule="auto"/>
        <w:ind w:right="270" w:firstLine="680"/>
        <w:jc w:val="both"/>
        <w:rPr>
          <w:rFonts w:hint="eastAsia"/>
          <w:color w:val="231F20"/>
          <w:sz w:val="32"/>
          <w:szCs w:val="24"/>
        </w:rPr>
      </w:pPr>
      <w:r>
        <w:rPr>
          <w:rFonts w:hint="eastAsia"/>
          <w:color w:val="231F20"/>
          <w:sz w:val="32"/>
          <w:szCs w:val="24"/>
        </w:rPr>
        <w:t>到 2025 年，构建与国民经济和社会发展水平相适应、与居民健康需求相匹配，体系完整、分工明确、功能互补、密切协作的整合型医疗卫生服务体系，实现基本公共卫生服务和医疗资源均等化水平明显提升，应对突发公共卫生事件能力显著增强。</w:t>
      </w:r>
    </w:p>
    <w:p>
      <w:pPr>
        <w:pStyle w:val="3"/>
        <w:kinsoku w:val="0"/>
        <w:overflowPunct w:val="0"/>
        <w:spacing w:line="328" w:lineRule="auto"/>
        <w:ind w:right="240" w:firstLine="680"/>
        <w:jc w:val="both"/>
        <w:rPr>
          <w:rFonts w:hint="eastAsia"/>
          <w:color w:val="231F20"/>
          <w:spacing w:val="-10"/>
          <w:sz w:val="32"/>
          <w:szCs w:val="24"/>
        </w:rPr>
      </w:pPr>
      <w:r>
        <w:rPr>
          <w:rFonts w:hint="eastAsia"/>
          <w:color w:val="231F20"/>
          <w:spacing w:val="25"/>
          <w:sz w:val="32"/>
          <w:szCs w:val="24"/>
        </w:rPr>
        <w:t>——人民健康水平持续提高。居民健康素养水平达到</w:t>
      </w:r>
      <w:r>
        <w:rPr>
          <w:rFonts w:hint="eastAsia"/>
          <w:color w:val="231F20"/>
          <w:spacing w:val="3"/>
          <w:sz w:val="32"/>
          <w:szCs w:val="24"/>
        </w:rPr>
        <w:t>25%</w:t>
      </w:r>
      <w:r>
        <w:rPr>
          <w:rFonts w:hint="eastAsia"/>
          <w:color w:val="231F20"/>
          <w:sz w:val="32"/>
          <w:szCs w:val="24"/>
        </w:rPr>
        <w:t>，身体素质明显增强。到 2025</w:t>
      </w:r>
      <w:r>
        <w:rPr>
          <w:rFonts w:hint="eastAsia"/>
          <w:color w:val="231F20"/>
          <w:spacing w:val="-9"/>
          <w:sz w:val="32"/>
          <w:szCs w:val="24"/>
        </w:rPr>
        <w:t xml:space="preserve"> 年婴儿死亡率≤ </w:t>
      </w:r>
      <w:r>
        <w:rPr>
          <w:rFonts w:hint="eastAsia"/>
          <w:color w:val="231F20"/>
          <w:spacing w:val="3"/>
          <w:sz w:val="32"/>
          <w:szCs w:val="24"/>
        </w:rPr>
        <w:t>6‰，5</w:t>
      </w:r>
      <w:r>
        <w:rPr>
          <w:rFonts w:hint="eastAsia"/>
          <w:color w:val="231F20"/>
          <w:spacing w:val="-38"/>
          <w:sz w:val="32"/>
          <w:szCs w:val="24"/>
        </w:rPr>
        <w:t xml:space="preserve"> 岁</w:t>
      </w:r>
      <w:r>
        <w:rPr>
          <w:rFonts w:hint="eastAsia"/>
          <w:color w:val="231F20"/>
          <w:spacing w:val="-3"/>
          <w:sz w:val="32"/>
          <w:szCs w:val="24"/>
        </w:rPr>
        <w:t xml:space="preserve">以下儿童死亡率≤ </w:t>
      </w:r>
      <w:r>
        <w:rPr>
          <w:rFonts w:hint="eastAsia"/>
          <w:color w:val="231F20"/>
          <w:spacing w:val="5"/>
          <w:sz w:val="32"/>
          <w:szCs w:val="24"/>
        </w:rPr>
        <w:t>8</w:t>
      </w:r>
      <w:r>
        <w:rPr>
          <w:rFonts w:hint="eastAsia"/>
          <w:color w:val="231F20"/>
          <w:spacing w:val="-5"/>
          <w:sz w:val="32"/>
          <w:szCs w:val="24"/>
        </w:rPr>
        <w:t xml:space="preserve">‰，产妇死亡率≤ </w:t>
      </w:r>
      <w:r>
        <w:rPr>
          <w:rFonts w:hint="eastAsia"/>
          <w:color w:val="231F20"/>
          <w:sz w:val="32"/>
          <w:szCs w:val="24"/>
        </w:rPr>
        <w:t>17/10</w:t>
      </w:r>
      <w:r>
        <w:rPr>
          <w:rFonts w:hint="eastAsia"/>
          <w:color w:val="231F20"/>
          <w:spacing w:val="-6"/>
          <w:sz w:val="32"/>
          <w:szCs w:val="24"/>
        </w:rPr>
        <w:t xml:space="preserve"> 万，人均预期寿</w:t>
      </w:r>
      <w:r>
        <w:rPr>
          <w:rFonts w:hint="eastAsia"/>
          <w:color w:val="231F20"/>
          <w:spacing w:val="-16"/>
          <w:sz w:val="32"/>
          <w:szCs w:val="24"/>
        </w:rPr>
        <w:t xml:space="preserve">命提高到 </w:t>
      </w:r>
      <w:r>
        <w:rPr>
          <w:rFonts w:hint="eastAsia"/>
          <w:color w:val="231F20"/>
          <w:sz w:val="32"/>
          <w:szCs w:val="24"/>
        </w:rPr>
        <w:t>77</w:t>
      </w:r>
      <w:r>
        <w:rPr>
          <w:rFonts w:hint="eastAsia"/>
          <w:color w:val="231F20"/>
          <w:spacing w:val="-10"/>
          <w:sz w:val="32"/>
          <w:szCs w:val="24"/>
        </w:rPr>
        <w:t xml:space="preserve"> 岁以上，居民健康指标不断提高。</w:t>
      </w:r>
    </w:p>
    <w:p>
      <w:pPr>
        <w:pStyle w:val="3"/>
        <w:kinsoku w:val="0"/>
        <w:overflowPunct w:val="0"/>
        <w:spacing w:line="328" w:lineRule="auto"/>
        <w:ind w:right="240" w:firstLine="680"/>
        <w:jc w:val="both"/>
        <w:rPr>
          <w:rFonts w:hint="eastAsia"/>
          <w:color w:val="231F20"/>
          <w:spacing w:val="-1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firstLine="680"/>
        <w:jc w:val="both"/>
        <w:rPr>
          <w:rFonts w:hint="eastAsia"/>
          <w:color w:val="231F20"/>
          <w:spacing w:val="-36"/>
          <w:sz w:val="32"/>
          <w:szCs w:val="24"/>
        </w:rPr>
      </w:pPr>
      <w:r>
        <w:rPr>
          <w:rFonts w:hint="eastAsia"/>
          <w:color w:val="231F20"/>
          <w:sz w:val="32"/>
          <w:szCs w:val="24"/>
        </w:rPr>
        <w:t>——培养和引进一支数量充足、结构合理、分布适宜的卫</w:t>
      </w:r>
      <w:r>
        <w:rPr>
          <w:rFonts w:hint="eastAsia"/>
          <w:color w:val="231F20"/>
          <w:spacing w:val="-18"/>
          <w:sz w:val="32"/>
          <w:szCs w:val="24"/>
        </w:rPr>
        <w:t xml:space="preserve">生人才队伍。到 </w:t>
      </w:r>
      <w:r>
        <w:rPr>
          <w:rFonts w:hint="eastAsia"/>
          <w:color w:val="231F20"/>
          <w:sz w:val="32"/>
          <w:szCs w:val="24"/>
        </w:rPr>
        <w:t>2025</w:t>
      </w:r>
      <w:r>
        <w:rPr>
          <w:rFonts w:hint="eastAsia"/>
          <w:color w:val="231F20"/>
          <w:spacing w:val="-25"/>
          <w:sz w:val="32"/>
          <w:szCs w:val="24"/>
        </w:rPr>
        <w:t xml:space="preserve"> 年，每千人执业</w:t>
      </w:r>
      <w:r>
        <w:rPr>
          <w:rFonts w:hint="eastAsia"/>
          <w:color w:val="231F20"/>
          <w:sz w:val="32"/>
          <w:szCs w:val="24"/>
        </w:rPr>
        <w:t>（助理</w:t>
      </w:r>
      <w:r>
        <w:rPr>
          <w:rFonts w:hint="eastAsia"/>
          <w:color w:val="231F20"/>
          <w:spacing w:val="-46"/>
          <w:sz w:val="32"/>
          <w:szCs w:val="24"/>
        </w:rPr>
        <w:t>）</w:t>
      </w:r>
      <w:r>
        <w:rPr>
          <w:rFonts w:hint="eastAsia"/>
          <w:color w:val="231F20"/>
          <w:spacing w:val="-19"/>
          <w:sz w:val="32"/>
          <w:szCs w:val="24"/>
        </w:rPr>
        <w:t xml:space="preserve">医师达到 </w:t>
      </w:r>
      <w:r>
        <w:rPr>
          <w:rFonts w:hint="eastAsia"/>
          <w:color w:val="231F20"/>
          <w:sz w:val="32"/>
          <w:szCs w:val="24"/>
        </w:rPr>
        <w:t>3.2</w:t>
      </w:r>
      <w:r>
        <w:rPr>
          <w:rFonts w:hint="eastAsia"/>
          <w:color w:val="231F20"/>
          <w:spacing w:val="-36"/>
          <w:sz w:val="32"/>
          <w:szCs w:val="24"/>
        </w:rPr>
        <w:t xml:space="preserve"> 人，</w:t>
      </w:r>
    </w:p>
    <w:p>
      <w:pPr>
        <w:pStyle w:val="3"/>
        <w:kinsoku w:val="0"/>
        <w:overflowPunct w:val="0"/>
        <w:spacing w:line="407" w:lineRule="exact"/>
        <w:jc w:val="both"/>
        <w:rPr>
          <w:rFonts w:hint="eastAsia"/>
          <w:color w:val="231F20"/>
          <w:spacing w:val="-6"/>
          <w:sz w:val="32"/>
          <w:szCs w:val="24"/>
        </w:rPr>
      </w:pPr>
      <w:r>
        <w:rPr>
          <w:rFonts w:hint="eastAsia"/>
          <w:color w:val="231F20"/>
          <w:spacing w:val="-6"/>
          <w:sz w:val="32"/>
          <w:szCs w:val="24"/>
        </w:rPr>
        <w:t xml:space="preserve">每千人注册护士达到 </w:t>
      </w:r>
      <w:r>
        <w:rPr>
          <w:rFonts w:hint="eastAsia"/>
          <w:color w:val="231F20"/>
          <w:sz w:val="32"/>
          <w:szCs w:val="24"/>
        </w:rPr>
        <w:t>4.8</w:t>
      </w:r>
      <w:r>
        <w:rPr>
          <w:rFonts w:hint="eastAsia"/>
          <w:color w:val="231F20"/>
          <w:spacing w:val="-6"/>
          <w:sz w:val="32"/>
          <w:szCs w:val="24"/>
        </w:rPr>
        <w:t xml:space="preserve"> 人，每万常住人口全科医生数量达到</w:t>
      </w:r>
    </w:p>
    <w:p>
      <w:pPr>
        <w:pStyle w:val="7"/>
        <w:numPr>
          <w:ilvl w:val="0"/>
          <w:numId w:val="0"/>
        </w:numPr>
        <w:tabs>
          <w:tab w:val="left" w:pos="838"/>
        </w:tabs>
        <w:kinsoku w:val="0"/>
        <w:overflowPunct w:val="0"/>
        <w:spacing w:before="150"/>
        <w:ind w:left="276" w:right="0" w:firstLine="0"/>
        <w:rPr>
          <w:rFonts w:hint="eastAsia"/>
          <w:color w:val="231F20"/>
          <w:spacing w:val="-6"/>
          <w:sz w:val="32"/>
          <w:szCs w:val="24"/>
        </w:rPr>
      </w:pPr>
      <w:r>
        <w:rPr>
          <w:rFonts w:hint="eastAsia"/>
          <w:color w:val="231F20"/>
          <w:spacing w:val="-6"/>
          <w:sz w:val="32"/>
          <w:szCs w:val="24"/>
          <w:lang w:val="en-US" w:eastAsia="zh-CN"/>
        </w:rPr>
        <w:t>3.5</w:t>
      </w:r>
      <w:r>
        <w:rPr>
          <w:rFonts w:hint="eastAsia"/>
          <w:color w:val="231F20"/>
          <w:spacing w:val="-6"/>
          <w:sz w:val="32"/>
          <w:szCs w:val="24"/>
        </w:rPr>
        <w:t>人。</w:t>
      </w:r>
    </w:p>
    <w:p>
      <w:pPr>
        <w:pStyle w:val="3"/>
        <w:kinsoku w:val="0"/>
        <w:overflowPunct w:val="0"/>
        <w:spacing w:before="150" w:line="328" w:lineRule="auto"/>
        <w:ind w:right="270" w:firstLine="680"/>
        <w:jc w:val="both"/>
        <w:rPr>
          <w:rFonts w:hint="eastAsia"/>
          <w:color w:val="231F20"/>
          <w:sz w:val="32"/>
          <w:szCs w:val="24"/>
        </w:rPr>
      </w:pPr>
      <w:r>
        <w:rPr>
          <w:rFonts w:hint="eastAsia"/>
          <w:color w:val="231F20"/>
          <w:sz w:val="32"/>
          <w:szCs w:val="24"/>
        </w:rPr>
        <w:t>——完善公共卫生服务体系。增强公共卫生服务能力和突发事件卫生应急处置能力，重大疫情救治、疾病预防控制能力明显增强。</w:t>
      </w:r>
    </w:p>
    <w:p>
      <w:pPr>
        <w:pStyle w:val="3"/>
        <w:kinsoku w:val="0"/>
        <w:overflowPunct w:val="0"/>
        <w:spacing w:line="328" w:lineRule="auto"/>
        <w:ind w:right="115" w:firstLine="680"/>
        <w:rPr>
          <w:rFonts w:hint="eastAsia"/>
          <w:color w:val="231F20"/>
          <w:sz w:val="32"/>
          <w:szCs w:val="24"/>
        </w:rPr>
      </w:pPr>
      <w:r>
        <w:rPr>
          <w:rFonts w:hint="eastAsia"/>
          <w:color w:val="231F20"/>
          <w:sz w:val="32"/>
          <w:szCs w:val="24"/>
        </w:rPr>
        <w:t>——中医药健康产业体系不断完善。建设中药材标准化生产体系，提高中药材生产质量，打造绿色陇药品牌，推进中药</w:t>
      </w:r>
      <w:r>
        <w:rPr>
          <w:rFonts w:hint="eastAsia"/>
          <w:color w:val="231F20"/>
          <w:spacing w:val="-7"/>
          <w:sz w:val="32"/>
          <w:szCs w:val="24"/>
        </w:rPr>
        <w:t xml:space="preserve">材标准化种植技术应用。强化品牌能力建设，实施“一品一策” </w:t>
      </w:r>
      <w:r>
        <w:rPr>
          <w:rFonts w:hint="eastAsia"/>
          <w:color w:val="231F20"/>
          <w:sz w:val="32"/>
          <w:szCs w:val="24"/>
        </w:rPr>
        <w:t>定向精准培育。建立校企联合人才培养模式，引进高层次、高水平的科研人才和管理人才创新创业。</w:t>
      </w:r>
    </w:p>
    <w:p>
      <w:pPr>
        <w:pStyle w:val="3"/>
        <w:kinsoku w:val="0"/>
        <w:overflowPunct w:val="0"/>
        <w:spacing w:line="328" w:lineRule="auto"/>
        <w:ind w:right="268" w:firstLine="680"/>
        <w:jc w:val="both"/>
        <w:rPr>
          <w:rFonts w:hint="eastAsia"/>
          <w:color w:val="231F20"/>
          <w:sz w:val="32"/>
          <w:szCs w:val="24"/>
        </w:rPr>
      </w:pPr>
      <w:r>
        <w:rPr>
          <w:rFonts w:hint="eastAsia"/>
          <w:color w:val="231F20"/>
          <w:sz w:val="32"/>
          <w:szCs w:val="24"/>
        </w:rPr>
        <w:t>——以甘肃省人民医院新区分院老年康复养护区建设项目</w:t>
      </w:r>
      <w:r>
        <w:rPr>
          <w:rFonts w:hint="eastAsia"/>
          <w:color w:val="231F20"/>
          <w:spacing w:val="-8"/>
          <w:sz w:val="32"/>
          <w:szCs w:val="24"/>
        </w:rPr>
        <w:t xml:space="preserve">为引领，带动建成 </w:t>
      </w:r>
      <w:r>
        <w:rPr>
          <w:rFonts w:hint="eastAsia"/>
          <w:color w:val="231F20"/>
          <w:sz w:val="32"/>
          <w:szCs w:val="24"/>
        </w:rPr>
        <w:t>3</w:t>
      </w:r>
      <w:r>
        <w:rPr>
          <w:rFonts w:hint="eastAsia"/>
          <w:color w:val="231F20"/>
          <w:spacing w:val="-7"/>
          <w:sz w:val="32"/>
          <w:szCs w:val="24"/>
        </w:rPr>
        <w:t xml:space="preserve"> 家以上医养结合机构。加强基层医疗机构</w:t>
      </w:r>
      <w:r>
        <w:rPr>
          <w:rFonts w:hint="eastAsia"/>
          <w:color w:val="231F20"/>
          <w:spacing w:val="2"/>
          <w:sz w:val="32"/>
          <w:szCs w:val="24"/>
        </w:rPr>
        <w:t>与养老服务机构合作，推动基层医疗卫生机构为居家老年人提</w:t>
      </w:r>
      <w:r>
        <w:rPr>
          <w:rFonts w:hint="eastAsia"/>
          <w:color w:val="231F20"/>
          <w:sz w:val="32"/>
          <w:szCs w:val="24"/>
        </w:rPr>
        <w:t>供上门服务。</w:t>
      </w:r>
    </w:p>
    <w:p>
      <w:pPr>
        <w:pStyle w:val="3"/>
        <w:kinsoku w:val="0"/>
        <w:overflowPunct w:val="0"/>
        <w:spacing w:line="328" w:lineRule="auto"/>
        <w:ind w:right="115" w:firstLine="680"/>
        <w:rPr>
          <w:rFonts w:hint="eastAsia"/>
          <w:color w:val="231F20"/>
          <w:sz w:val="32"/>
          <w:szCs w:val="24"/>
        </w:rPr>
      </w:pPr>
      <w:r>
        <w:rPr>
          <w:rFonts w:hint="eastAsia"/>
          <w:color w:val="231F20"/>
          <w:spacing w:val="-39"/>
          <w:sz w:val="32"/>
          <w:szCs w:val="24"/>
        </w:rPr>
        <w:t xml:space="preserve">到 </w:t>
      </w:r>
      <w:r>
        <w:rPr>
          <w:rFonts w:hint="eastAsia"/>
          <w:color w:val="231F20"/>
          <w:sz w:val="32"/>
          <w:szCs w:val="24"/>
        </w:rPr>
        <w:t>2035 年，新区卫生健康事业得到长足发展，健康优先发展理念深入人心，健康知识广泛普及，健康环境持续改善， 健康产业迅速发展。“自己是健康的第一责任人”理念普遍转化为实践。制约新区卫生健康事业发展的体制机制障碍进一步</w:t>
      </w:r>
      <w:r>
        <w:rPr>
          <w:rFonts w:hint="eastAsia"/>
          <w:color w:val="231F20"/>
          <w:spacing w:val="-10"/>
          <w:sz w:val="32"/>
          <w:szCs w:val="24"/>
        </w:rPr>
        <w:t xml:space="preserve">破除，全人群、全生命周期的卫生健康服务体系更加健全完善， </w:t>
      </w:r>
      <w:r>
        <w:rPr>
          <w:rFonts w:hint="eastAsia"/>
          <w:color w:val="231F20"/>
          <w:spacing w:val="2"/>
          <w:sz w:val="32"/>
          <w:szCs w:val="24"/>
        </w:rPr>
        <w:t>卫生资源保有量及其结构更加合理，卫生健康治理体系和治理</w:t>
      </w:r>
      <w:r>
        <w:rPr>
          <w:rFonts w:hint="eastAsia"/>
          <w:color w:val="231F20"/>
          <w:sz w:val="32"/>
          <w:szCs w:val="24"/>
        </w:rPr>
        <w:t>能力现代化基本实现，人民群众健康水平大幅提升，与全省卫生健康事业先进地区的差距进一步缩小。</w:t>
      </w:r>
    </w:p>
    <w:p>
      <w:pPr>
        <w:pStyle w:val="3"/>
        <w:kinsoku w:val="0"/>
        <w:overflowPunct w:val="0"/>
        <w:spacing w:line="328" w:lineRule="auto"/>
        <w:ind w:right="115" w:firstLine="680"/>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1"/>
        <w:ind w:left="0"/>
        <w:rPr>
          <w:rFonts w:hint="eastAsia"/>
          <w:sz w:val="18"/>
          <w:szCs w:val="24"/>
        </w:rPr>
      </w:pPr>
    </w:p>
    <w:p>
      <w:pPr>
        <w:pStyle w:val="3"/>
        <w:kinsoku w:val="0"/>
        <w:overflowPunct w:val="0"/>
        <w:spacing w:before="28"/>
        <w:ind w:left="1122"/>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兰州新区“十四五”卫生与健康事业发展主要指标</w:t>
      </w:r>
    </w:p>
    <w:p>
      <w:pPr>
        <w:pStyle w:val="3"/>
        <w:kinsoku w:val="0"/>
        <w:overflowPunct w:val="0"/>
        <w:spacing w:before="3"/>
        <w:ind w:left="0"/>
        <w:rPr>
          <w:rFonts w:hint="default" w:ascii="方正黑体简体" w:hAnsi="方正黑体简体" w:eastAsia="方正黑体简体"/>
          <w:sz w:val="11"/>
          <w:szCs w:val="24"/>
        </w:rPr>
      </w:pPr>
    </w:p>
    <w:tbl>
      <w:tblPr>
        <w:tblStyle w:val="4"/>
        <w:tblW w:w="9495" w:type="dxa"/>
        <w:tblInd w:w="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1"/>
        <w:gridCol w:w="5118"/>
        <w:gridCol w:w="1393"/>
        <w:gridCol w:w="1206"/>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atLeast"/>
        </w:trPr>
        <w:tc>
          <w:tcPr>
            <w:tcW w:w="651"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67"/>
              <w:ind w:left="17" w:right="-15"/>
              <w:jc w:val="center"/>
              <w:rPr>
                <w:rFonts w:hint="default" w:ascii="方正黑体简体" w:hAnsi="方正黑体简体" w:eastAsia="方正黑体简体"/>
                <w:color w:val="231F20"/>
                <w:spacing w:val="-6"/>
                <w:sz w:val="21"/>
                <w:szCs w:val="24"/>
              </w:rPr>
            </w:pPr>
            <w:r>
              <w:rPr>
                <w:rFonts w:hint="default" w:ascii="方正黑体简体" w:hAnsi="方正黑体简体" w:eastAsia="方正黑体简体"/>
                <w:color w:val="231F20"/>
                <w:spacing w:val="-6"/>
                <w:sz w:val="21"/>
                <w:szCs w:val="24"/>
              </w:rPr>
              <w:t>编号</w:t>
            </w:r>
          </w:p>
        </w:tc>
        <w:tc>
          <w:tcPr>
            <w:tcW w:w="5118"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tabs>
                <w:tab w:val="left" w:pos="467"/>
              </w:tabs>
              <w:kinsoku w:val="0"/>
              <w:overflowPunct w:val="0"/>
              <w:spacing w:before="64"/>
              <w:ind w:left="24"/>
              <w:jc w:val="center"/>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指</w:t>
            </w:r>
            <w:r>
              <w:rPr>
                <w:rFonts w:hint="default" w:ascii="方正黑体简体" w:hAnsi="方正黑体简体" w:eastAsia="方正黑体简体"/>
                <w:color w:val="231F20"/>
                <w:sz w:val="21"/>
                <w:szCs w:val="24"/>
              </w:rPr>
              <w:tab/>
            </w:r>
            <w:r>
              <w:rPr>
                <w:rFonts w:hint="default" w:ascii="方正黑体简体" w:hAnsi="方正黑体简体" w:eastAsia="方正黑体简体"/>
                <w:color w:val="231F20"/>
                <w:sz w:val="21"/>
                <w:szCs w:val="24"/>
              </w:rPr>
              <w:t>标</w:t>
            </w:r>
          </w:p>
        </w:tc>
        <w:tc>
          <w:tcPr>
            <w:tcW w:w="1393"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64"/>
              <w:ind w:left="212" w:right="188"/>
              <w:jc w:val="center"/>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2020 年</w:t>
            </w:r>
          </w:p>
        </w:tc>
        <w:tc>
          <w:tcPr>
            <w:tcW w:w="1206"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64"/>
              <w:ind w:right="215"/>
              <w:jc w:val="right"/>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2025 年</w:t>
            </w:r>
          </w:p>
        </w:tc>
        <w:tc>
          <w:tcPr>
            <w:tcW w:w="1127"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67"/>
              <w:ind w:left="22" w:right="-15"/>
              <w:jc w:val="center"/>
              <w:rPr>
                <w:rFonts w:hint="default" w:ascii="方正黑体简体" w:hAnsi="方正黑体简体" w:eastAsia="方正黑体简体"/>
                <w:color w:val="231F20"/>
                <w:sz w:val="21"/>
                <w:szCs w:val="24"/>
              </w:rPr>
            </w:pPr>
            <w:r>
              <w:rPr>
                <w:rFonts w:hint="default" w:ascii="方正黑体简体" w:hAnsi="方正黑体简体" w:eastAsia="方正黑体简体"/>
                <w:color w:val="231F20"/>
                <w:sz w:val="21"/>
                <w:szCs w:val="24"/>
              </w:rPr>
              <w:t>指标类型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23"/>
              <w:jc w:val="center"/>
              <w:rPr>
                <w:rFonts w:hint="eastAsia"/>
                <w:color w:val="231F20"/>
                <w:sz w:val="21"/>
                <w:szCs w:val="24"/>
              </w:rPr>
            </w:pPr>
            <w:r>
              <w:rPr>
                <w:rFonts w:hint="eastAsia"/>
                <w:color w:val="231F20"/>
                <w:sz w:val="21"/>
                <w:szCs w:val="24"/>
              </w:rPr>
              <w:t>1</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548"/>
              <w:rPr>
                <w:rFonts w:hint="eastAsia"/>
                <w:color w:val="231F20"/>
                <w:sz w:val="21"/>
                <w:szCs w:val="24"/>
              </w:rPr>
            </w:pPr>
            <w:r>
              <w:rPr>
                <w:rFonts w:hint="eastAsia"/>
                <w:color w:val="231F20"/>
                <w:sz w:val="21"/>
                <w:szCs w:val="24"/>
              </w:rPr>
              <w:t>人均预期寿命（岁）</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76</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85"/>
              <w:jc w:val="right"/>
              <w:rPr>
                <w:rFonts w:hint="eastAsia"/>
                <w:color w:val="231F20"/>
                <w:w w:val="120"/>
                <w:sz w:val="21"/>
                <w:szCs w:val="24"/>
              </w:rPr>
            </w:pPr>
            <w:r>
              <w:rPr>
                <w:rFonts w:hint="eastAsia"/>
                <w:color w:val="231F20"/>
                <w:w w:val="130"/>
                <w:sz w:val="21"/>
                <w:szCs w:val="24"/>
              </w:rPr>
              <w:t>&gt;</w:t>
            </w:r>
            <w:r>
              <w:rPr>
                <w:rFonts w:hint="eastAsia"/>
                <w:color w:val="231F20"/>
                <w:spacing w:val="-116"/>
                <w:w w:val="130"/>
                <w:sz w:val="21"/>
                <w:szCs w:val="24"/>
              </w:rPr>
              <w:t xml:space="preserve"> </w:t>
            </w:r>
            <w:r>
              <w:rPr>
                <w:rFonts w:hint="eastAsia"/>
                <w:color w:val="231F20"/>
                <w:w w:val="120"/>
                <w:sz w:val="21"/>
                <w:szCs w:val="24"/>
              </w:rPr>
              <w:t>77.00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2</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653"/>
              <w:rPr>
                <w:rFonts w:hint="eastAsia"/>
                <w:color w:val="231F20"/>
                <w:sz w:val="21"/>
                <w:szCs w:val="24"/>
              </w:rPr>
            </w:pPr>
            <w:r>
              <w:rPr>
                <w:rFonts w:hint="eastAsia"/>
                <w:color w:val="231F20"/>
                <w:sz w:val="21"/>
                <w:szCs w:val="24"/>
              </w:rPr>
              <w:t>婴儿死亡率（‰）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4"/>
              <w:jc w:val="center"/>
              <w:rPr>
                <w:rFonts w:hint="eastAsia"/>
                <w:color w:val="231F20"/>
                <w:sz w:val="21"/>
                <w:szCs w:val="24"/>
              </w:rPr>
            </w:pPr>
            <w:r>
              <w:rPr>
                <w:rFonts w:hint="eastAsia"/>
                <w:color w:val="231F20"/>
                <w:sz w:val="21"/>
                <w:szCs w:val="24"/>
              </w:rPr>
              <w:t>0</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6.00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3</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311"/>
              <w:rPr>
                <w:rFonts w:hint="eastAsia"/>
                <w:color w:val="231F20"/>
                <w:sz w:val="21"/>
                <w:szCs w:val="24"/>
              </w:rPr>
            </w:pPr>
            <w:r>
              <w:rPr>
                <w:rFonts w:hint="eastAsia"/>
                <w:color w:val="231F20"/>
                <w:sz w:val="21"/>
                <w:szCs w:val="24"/>
              </w:rPr>
              <w:t>孕产妇死亡率（1/10 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4"/>
              <w:jc w:val="center"/>
              <w:rPr>
                <w:rFonts w:hint="eastAsia"/>
                <w:color w:val="231F20"/>
                <w:sz w:val="21"/>
                <w:szCs w:val="24"/>
              </w:rPr>
            </w:pPr>
            <w:r>
              <w:rPr>
                <w:rFonts w:hint="eastAsia"/>
                <w:color w:val="231F20"/>
                <w:sz w:val="21"/>
                <w:szCs w:val="24"/>
              </w:rPr>
              <w:t>0</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85"/>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17.00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4</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259"/>
              <w:rPr>
                <w:rFonts w:hint="eastAsia"/>
                <w:color w:val="231F20"/>
                <w:sz w:val="21"/>
                <w:szCs w:val="24"/>
              </w:rPr>
            </w:pPr>
            <w:r>
              <w:rPr>
                <w:rFonts w:hint="eastAsia"/>
                <w:color w:val="231F20"/>
                <w:sz w:val="21"/>
                <w:szCs w:val="24"/>
              </w:rPr>
              <w:t>5 岁以下儿童死亡率（‰）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13</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8.00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5</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390"/>
              <w:rPr>
                <w:rFonts w:hint="eastAsia"/>
                <w:color w:val="231F20"/>
                <w:sz w:val="21"/>
                <w:szCs w:val="24"/>
              </w:rPr>
            </w:pPr>
            <w:r>
              <w:rPr>
                <w:rFonts w:hint="eastAsia"/>
                <w:color w:val="231F20"/>
                <w:sz w:val="21"/>
                <w:szCs w:val="24"/>
              </w:rPr>
              <w:t>居民健康素养水平（%）</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11.7</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85"/>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25.00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6</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023"/>
              <w:rPr>
                <w:rFonts w:hint="eastAsia"/>
                <w:color w:val="231F20"/>
                <w:sz w:val="21"/>
                <w:szCs w:val="24"/>
              </w:rPr>
            </w:pPr>
            <w:r>
              <w:rPr>
                <w:rFonts w:hint="eastAsia"/>
                <w:color w:val="231F20"/>
                <w:sz w:val="21"/>
                <w:szCs w:val="24"/>
              </w:rPr>
              <w:t>每千人口医疗机构床位数（张）</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4.6</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8.00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7</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813"/>
              <w:rPr>
                <w:rFonts w:hint="eastAsia"/>
                <w:color w:val="231F20"/>
                <w:sz w:val="21"/>
                <w:szCs w:val="24"/>
              </w:rPr>
            </w:pPr>
            <w:r>
              <w:rPr>
                <w:rFonts w:hint="eastAsia"/>
                <w:color w:val="231F20"/>
                <w:sz w:val="21"/>
                <w:szCs w:val="24"/>
              </w:rPr>
              <w:t>每千人口执业（助理）医师数（人）</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3.03</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3.20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8</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233"/>
              <w:rPr>
                <w:rFonts w:hint="eastAsia"/>
                <w:color w:val="231F20"/>
                <w:sz w:val="21"/>
                <w:szCs w:val="24"/>
              </w:rPr>
            </w:pPr>
            <w:r>
              <w:rPr>
                <w:rFonts w:hint="eastAsia"/>
                <w:color w:val="231F20"/>
                <w:sz w:val="21"/>
                <w:szCs w:val="24"/>
              </w:rPr>
              <w:t>每千人口注册护士数（人）</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1.53</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4.80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18"/>
              <w:jc w:val="center"/>
              <w:rPr>
                <w:rFonts w:hint="eastAsia"/>
                <w:color w:val="231F20"/>
                <w:sz w:val="21"/>
                <w:szCs w:val="24"/>
              </w:rPr>
            </w:pPr>
            <w:r>
              <w:rPr>
                <w:rFonts w:hint="eastAsia"/>
                <w:color w:val="231F20"/>
                <w:sz w:val="21"/>
                <w:szCs w:val="24"/>
              </w:rPr>
              <w:t>9</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233"/>
              <w:rPr>
                <w:rFonts w:hint="eastAsia"/>
                <w:color w:val="231F20"/>
                <w:sz w:val="21"/>
                <w:szCs w:val="24"/>
              </w:rPr>
            </w:pPr>
            <w:r>
              <w:rPr>
                <w:rFonts w:hint="eastAsia"/>
                <w:color w:val="231F20"/>
                <w:sz w:val="21"/>
                <w:szCs w:val="24"/>
              </w:rPr>
              <w:t>每万人口全科医师数（人）</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1.46</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3.50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10</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708"/>
              <w:rPr>
                <w:rFonts w:hint="eastAsia"/>
                <w:color w:val="231F20"/>
                <w:sz w:val="21"/>
                <w:szCs w:val="24"/>
              </w:rPr>
            </w:pPr>
            <w:r>
              <w:rPr>
                <w:rFonts w:hint="eastAsia"/>
                <w:color w:val="231F20"/>
                <w:sz w:val="21"/>
                <w:szCs w:val="24"/>
              </w:rPr>
              <w:t>每千常住人口公共卫生医师人数（人）</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4"/>
              <w:jc w:val="center"/>
              <w:rPr>
                <w:rFonts w:hint="eastAsia"/>
                <w:color w:val="231F20"/>
                <w:sz w:val="21"/>
                <w:szCs w:val="24"/>
              </w:rPr>
            </w:pPr>
            <w:r>
              <w:rPr>
                <w:rFonts w:hint="eastAsia"/>
                <w:color w:val="231F20"/>
                <w:sz w:val="21"/>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0.90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94"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11</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655"/>
              <w:rPr>
                <w:rFonts w:hint="eastAsia"/>
                <w:color w:val="231F20"/>
                <w:sz w:val="21"/>
                <w:szCs w:val="24"/>
              </w:rPr>
            </w:pPr>
            <w:r>
              <w:rPr>
                <w:rFonts w:hint="eastAsia"/>
                <w:color w:val="231F20"/>
                <w:sz w:val="21"/>
                <w:szCs w:val="24"/>
              </w:rPr>
              <w:t>个人卫生支出占卫生总费用的比重（%）</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4"/>
              <w:jc w:val="center"/>
              <w:rPr>
                <w:rFonts w:hint="eastAsia"/>
                <w:color w:val="231F20"/>
                <w:sz w:val="21"/>
                <w:szCs w:val="24"/>
              </w:rPr>
            </w:pPr>
            <w:r>
              <w:rPr>
                <w:rFonts w:hint="eastAsia"/>
                <w:color w:val="231F20"/>
                <w:sz w:val="21"/>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85"/>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29.00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12</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128"/>
              <w:rPr>
                <w:rFonts w:hint="eastAsia"/>
                <w:color w:val="231F20"/>
                <w:sz w:val="21"/>
                <w:szCs w:val="24"/>
              </w:rPr>
            </w:pPr>
            <w:r>
              <w:rPr>
                <w:rFonts w:hint="eastAsia"/>
                <w:color w:val="231F20"/>
                <w:sz w:val="21"/>
                <w:szCs w:val="24"/>
              </w:rPr>
              <w:t>重大慢性病过早死亡率（‰）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4"/>
              <w:jc w:val="center"/>
              <w:rPr>
                <w:rFonts w:hint="eastAsia"/>
                <w:color w:val="231F20"/>
                <w:sz w:val="21"/>
                <w:szCs w:val="24"/>
              </w:rPr>
            </w:pPr>
            <w:r>
              <w:rPr>
                <w:rFonts w:hint="eastAsia"/>
                <w:color w:val="231F20"/>
                <w:sz w:val="21"/>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238"/>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1.50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2"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13</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101"/>
              <w:rPr>
                <w:rFonts w:hint="eastAsia"/>
                <w:color w:val="231F20"/>
                <w:sz w:val="21"/>
                <w:szCs w:val="24"/>
              </w:rPr>
            </w:pPr>
            <w:r>
              <w:rPr>
                <w:rFonts w:hint="eastAsia"/>
                <w:color w:val="231F20"/>
                <w:sz w:val="21"/>
                <w:szCs w:val="24"/>
              </w:rPr>
              <w:t>3 岁以下儿童系统管理率（%）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80</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85"/>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90.00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14</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390"/>
              <w:rPr>
                <w:rFonts w:hint="eastAsia"/>
                <w:color w:val="231F20"/>
                <w:sz w:val="21"/>
                <w:szCs w:val="24"/>
              </w:rPr>
            </w:pPr>
            <w:r>
              <w:rPr>
                <w:rFonts w:hint="eastAsia"/>
                <w:color w:val="231F20"/>
                <w:sz w:val="21"/>
                <w:szCs w:val="24"/>
              </w:rPr>
              <w:t>孕产妇系统管理率（%）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90</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85"/>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90.00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8"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3"/>
              <w:ind w:left="99" w:right="81"/>
              <w:jc w:val="center"/>
              <w:rPr>
                <w:rFonts w:hint="eastAsia"/>
                <w:color w:val="231F20"/>
                <w:sz w:val="21"/>
                <w:szCs w:val="24"/>
              </w:rPr>
            </w:pPr>
            <w:r>
              <w:rPr>
                <w:rFonts w:hint="eastAsia"/>
                <w:color w:val="231F20"/>
                <w:sz w:val="21"/>
                <w:szCs w:val="24"/>
              </w:rPr>
              <w:t>15</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3"/>
              <w:ind w:left="1180"/>
              <w:rPr>
                <w:rFonts w:hint="eastAsia"/>
                <w:color w:val="231F20"/>
                <w:sz w:val="21"/>
                <w:szCs w:val="24"/>
              </w:rPr>
            </w:pPr>
            <w:r>
              <w:rPr>
                <w:rFonts w:hint="eastAsia"/>
                <w:color w:val="231F20"/>
                <w:sz w:val="21"/>
                <w:szCs w:val="24"/>
              </w:rPr>
              <w:t>儿童青少年总体近视率（%）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3"/>
              <w:ind w:left="212" w:right="188"/>
              <w:jc w:val="center"/>
              <w:rPr>
                <w:rFonts w:hint="eastAsia"/>
                <w:color w:val="231F20"/>
                <w:sz w:val="21"/>
                <w:szCs w:val="24"/>
              </w:rPr>
            </w:pPr>
            <w:r>
              <w:rPr>
                <w:rFonts w:hint="eastAsia"/>
                <w:color w:val="231F20"/>
                <w:sz w:val="21"/>
                <w:szCs w:val="24"/>
              </w:rPr>
              <w:t>58.25</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37" w:line="261" w:lineRule="exact"/>
              <w:ind w:left="11"/>
              <w:rPr>
                <w:rFonts w:hint="eastAsia"/>
                <w:color w:val="231F20"/>
                <w:spacing w:val="-25"/>
                <w:sz w:val="21"/>
                <w:szCs w:val="24"/>
              </w:rPr>
            </w:pPr>
            <w:r>
              <w:rPr>
                <w:rFonts w:hint="eastAsia"/>
                <w:color w:val="231F20"/>
                <w:spacing w:val="-18"/>
                <w:sz w:val="21"/>
                <w:szCs w:val="24"/>
              </w:rPr>
              <w:t>力争每年降低</w:t>
            </w:r>
            <w:r>
              <w:rPr>
                <w:rFonts w:hint="eastAsia"/>
                <w:color w:val="231F20"/>
                <w:spacing w:val="-9"/>
                <w:sz w:val="21"/>
                <w:szCs w:val="24"/>
              </w:rPr>
              <w:t>0.5</w:t>
            </w:r>
            <w:r>
              <w:rPr>
                <w:rFonts w:hint="eastAsia"/>
                <w:color w:val="231F20"/>
                <w:spacing w:val="-25"/>
                <w:sz w:val="21"/>
                <w:szCs w:val="24"/>
              </w:rPr>
              <w:t xml:space="preserve"> 个百分点</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3"/>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16</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708"/>
              <w:rPr>
                <w:rFonts w:hint="eastAsia"/>
                <w:color w:val="231F20"/>
                <w:sz w:val="21"/>
                <w:szCs w:val="24"/>
              </w:rPr>
            </w:pPr>
            <w:r>
              <w:rPr>
                <w:rFonts w:hint="eastAsia"/>
                <w:color w:val="231F20"/>
                <w:sz w:val="21"/>
                <w:szCs w:val="24"/>
              </w:rPr>
              <w:t>每千人口 3 岁以下婴幼儿托位数（个）</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4"/>
              <w:jc w:val="center"/>
              <w:rPr>
                <w:rFonts w:hint="eastAsia"/>
                <w:color w:val="231F20"/>
                <w:sz w:val="21"/>
                <w:szCs w:val="24"/>
              </w:rPr>
            </w:pPr>
            <w:r>
              <w:rPr>
                <w:rFonts w:hint="eastAsia"/>
                <w:color w:val="231F20"/>
                <w:sz w:val="21"/>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316"/>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2.0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17</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01"/>
              <w:jc w:val="right"/>
              <w:rPr>
                <w:rFonts w:hint="eastAsia"/>
                <w:color w:val="231F20"/>
                <w:spacing w:val="-5"/>
                <w:sz w:val="21"/>
                <w:szCs w:val="24"/>
              </w:rPr>
            </w:pPr>
            <w:r>
              <w:rPr>
                <w:rFonts w:hint="eastAsia"/>
                <w:color w:val="231F20"/>
                <w:spacing w:val="-7"/>
                <w:sz w:val="21"/>
                <w:szCs w:val="24"/>
              </w:rPr>
              <w:t>医疗机构开设老年人挂号、就医便利服务绿色通道</w:t>
            </w:r>
            <w:r>
              <w:rPr>
                <w:rFonts w:hint="eastAsia"/>
                <w:color w:val="231F20"/>
                <w:spacing w:val="-5"/>
                <w:sz w:val="21"/>
                <w:szCs w:val="24"/>
              </w:rPr>
              <w:t>（%）</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100</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404"/>
              <w:jc w:val="both"/>
              <w:rPr>
                <w:rFonts w:hint="eastAsia"/>
                <w:color w:val="231F20"/>
                <w:sz w:val="21"/>
                <w:szCs w:val="24"/>
                <w:lang w:val="en-US" w:eastAsia="zh-CN"/>
              </w:rPr>
            </w:pPr>
            <w:r>
              <w:rPr>
                <w:rFonts w:hint="eastAsia"/>
                <w:color w:val="231F20"/>
                <w:sz w:val="21"/>
                <w:szCs w:val="24"/>
                <w:lang w:val="en-US" w:eastAsia="zh-CN"/>
              </w:rPr>
              <w:t>100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18</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104"/>
              <w:rPr>
                <w:rFonts w:hint="eastAsia"/>
                <w:color w:val="231F20"/>
                <w:sz w:val="21"/>
                <w:szCs w:val="24"/>
              </w:rPr>
            </w:pPr>
            <w:r>
              <w:rPr>
                <w:rFonts w:hint="eastAsia"/>
                <w:color w:val="231F20"/>
                <w:sz w:val="21"/>
                <w:szCs w:val="24"/>
              </w:rPr>
              <w:t>65 岁以上老年人城乡社区规范健康管理服务率（%）</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40</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85"/>
              <w:jc w:val="right"/>
              <w:rPr>
                <w:rFonts w:hint="eastAsia"/>
                <w:color w:val="231F20"/>
                <w:sz w:val="21"/>
                <w:szCs w:val="24"/>
              </w:rPr>
            </w:pPr>
            <w:r>
              <w:rPr>
                <w:rFonts w:hint="eastAsia"/>
                <w:color w:val="231F20"/>
                <w:sz w:val="21"/>
                <w:szCs w:val="24"/>
              </w:rPr>
              <w:t>≥</w:t>
            </w:r>
            <w:r>
              <w:rPr>
                <w:rFonts w:hint="eastAsia"/>
                <w:color w:val="231F20"/>
                <w:spacing w:val="-53"/>
                <w:sz w:val="21"/>
                <w:szCs w:val="24"/>
              </w:rPr>
              <w:t xml:space="preserve"> </w:t>
            </w:r>
            <w:r>
              <w:rPr>
                <w:rFonts w:hint="eastAsia"/>
                <w:color w:val="231F20"/>
                <w:sz w:val="21"/>
                <w:szCs w:val="24"/>
              </w:rPr>
              <w:t>70.00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trPr>
        <w:tc>
          <w:tcPr>
            <w:tcW w:w="651"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19</w:t>
            </w:r>
          </w:p>
        </w:tc>
        <w:tc>
          <w:tcPr>
            <w:tcW w:w="511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right="-101"/>
              <w:jc w:val="right"/>
              <w:rPr>
                <w:rFonts w:hint="eastAsia"/>
                <w:color w:val="231F20"/>
                <w:spacing w:val="-5"/>
                <w:sz w:val="21"/>
                <w:szCs w:val="24"/>
              </w:rPr>
            </w:pPr>
            <w:r>
              <w:rPr>
                <w:rFonts w:hint="eastAsia"/>
                <w:color w:val="231F20"/>
                <w:spacing w:val="-15"/>
                <w:sz w:val="21"/>
                <w:szCs w:val="24"/>
              </w:rPr>
              <w:t>县级以上综合医院</w:t>
            </w:r>
            <w:r>
              <w:rPr>
                <w:rFonts w:hint="eastAsia"/>
                <w:color w:val="231F20"/>
                <w:spacing w:val="-5"/>
                <w:sz w:val="21"/>
                <w:szCs w:val="24"/>
              </w:rPr>
              <w:t>（含妇幼机构</w:t>
            </w:r>
            <w:r>
              <w:rPr>
                <w:rFonts w:hint="eastAsia"/>
                <w:color w:val="231F20"/>
                <w:spacing w:val="-80"/>
                <w:sz w:val="21"/>
                <w:szCs w:val="24"/>
              </w:rPr>
              <w:t>）</w:t>
            </w:r>
            <w:r>
              <w:rPr>
                <w:rFonts w:hint="eastAsia"/>
                <w:color w:val="231F20"/>
                <w:spacing w:val="-15"/>
                <w:sz w:val="21"/>
                <w:szCs w:val="24"/>
              </w:rPr>
              <w:t>中医药服务覆盖率</w:t>
            </w:r>
            <w:r>
              <w:rPr>
                <w:rFonts w:hint="eastAsia"/>
                <w:color w:val="231F20"/>
                <w:spacing w:val="-5"/>
                <w:sz w:val="21"/>
                <w:szCs w:val="24"/>
              </w:rPr>
              <w:t>（%）</w:t>
            </w:r>
          </w:p>
        </w:tc>
        <w:tc>
          <w:tcPr>
            <w:tcW w:w="139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100</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99"/>
              <w:ind w:right="404"/>
              <w:jc w:val="both"/>
              <w:rPr>
                <w:rFonts w:hint="eastAsia"/>
                <w:color w:val="231F20"/>
                <w:sz w:val="21"/>
                <w:szCs w:val="24"/>
              </w:rPr>
            </w:pPr>
            <w:r>
              <w:rPr>
                <w:rFonts w:hint="eastAsia"/>
                <w:color w:val="231F20"/>
                <w:sz w:val="21"/>
                <w:szCs w:val="24"/>
                <w:lang w:val="en-US" w:eastAsia="zh-CN"/>
              </w:rPr>
              <w:t>10</w:t>
            </w:r>
            <w:r>
              <w:rPr>
                <w:rFonts w:hint="eastAsia"/>
                <w:color w:val="231F20"/>
                <w:sz w:val="21"/>
                <w:szCs w:val="24"/>
              </w:rPr>
              <w:t>0</w:t>
            </w:r>
          </w:p>
        </w:tc>
        <w:tc>
          <w:tcPr>
            <w:tcW w:w="1127"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atLeast"/>
        </w:trPr>
        <w:tc>
          <w:tcPr>
            <w:tcW w:w="651"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spacing w:before="99"/>
              <w:ind w:left="99" w:right="81"/>
              <w:jc w:val="center"/>
              <w:rPr>
                <w:rFonts w:hint="eastAsia"/>
                <w:color w:val="231F20"/>
                <w:sz w:val="21"/>
                <w:szCs w:val="24"/>
              </w:rPr>
            </w:pPr>
            <w:r>
              <w:rPr>
                <w:rFonts w:hint="eastAsia"/>
                <w:color w:val="231F20"/>
                <w:sz w:val="21"/>
                <w:szCs w:val="24"/>
              </w:rPr>
              <w:t>20</w:t>
            </w:r>
          </w:p>
        </w:tc>
        <w:tc>
          <w:tcPr>
            <w:tcW w:w="511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99"/>
              <w:ind w:left="445"/>
              <w:rPr>
                <w:rFonts w:hint="eastAsia"/>
                <w:color w:val="231F20"/>
                <w:sz w:val="21"/>
                <w:szCs w:val="24"/>
              </w:rPr>
            </w:pPr>
            <w:r>
              <w:rPr>
                <w:rFonts w:hint="eastAsia"/>
                <w:color w:val="231F20"/>
                <w:sz w:val="21"/>
                <w:szCs w:val="24"/>
              </w:rPr>
              <w:t>中医药适宜技术推广乡村和社区覆盖率（%）</w:t>
            </w:r>
          </w:p>
        </w:tc>
        <w:tc>
          <w:tcPr>
            <w:tcW w:w="1393"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99"/>
              <w:ind w:left="212" w:right="188"/>
              <w:jc w:val="center"/>
              <w:rPr>
                <w:rFonts w:hint="eastAsia"/>
                <w:color w:val="231F20"/>
                <w:sz w:val="21"/>
                <w:szCs w:val="24"/>
              </w:rPr>
            </w:pPr>
            <w:r>
              <w:rPr>
                <w:rFonts w:hint="eastAsia"/>
                <w:color w:val="231F20"/>
                <w:sz w:val="21"/>
                <w:szCs w:val="24"/>
              </w:rPr>
              <w:t>100</w:t>
            </w:r>
          </w:p>
        </w:tc>
        <w:tc>
          <w:tcPr>
            <w:tcW w:w="120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99"/>
              <w:ind w:right="404"/>
              <w:jc w:val="both"/>
              <w:rPr>
                <w:rFonts w:hint="eastAsia"/>
                <w:color w:val="231F20"/>
                <w:sz w:val="21"/>
                <w:szCs w:val="24"/>
              </w:rPr>
            </w:pPr>
            <w:r>
              <w:rPr>
                <w:rFonts w:hint="eastAsia"/>
                <w:color w:val="231F20"/>
                <w:sz w:val="21"/>
                <w:szCs w:val="24"/>
                <w:lang w:val="en-US" w:eastAsia="zh-CN"/>
              </w:rPr>
              <w:t>10</w:t>
            </w:r>
            <w:r>
              <w:rPr>
                <w:rFonts w:hint="eastAsia"/>
                <w:color w:val="231F20"/>
                <w:sz w:val="21"/>
                <w:szCs w:val="24"/>
              </w:rPr>
              <w:t>0</w:t>
            </w:r>
          </w:p>
        </w:tc>
        <w:tc>
          <w:tcPr>
            <w:tcW w:w="1127"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spacing w:before="99"/>
              <w:ind w:left="110" w:right="79"/>
              <w:jc w:val="center"/>
              <w:rPr>
                <w:rFonts w:hint="eastAsia"/>
                <w:color w:val="231F20"/>
                <w:sz w:val="21"/>
                <w:szCs w:val="24"/>
              </w:rPr>
            </w:pPr>
            <w:r>
              <w:rPr>
                <w:rFonts w:hint="eastAsia"/>
                <w:color w:val="231F20"/>
                <w:sz w:val="21"/>
                <w:szCs w:val="24"/>
              </w:rPr>
              <w:t>预期性</w:t>
            </w:r>
          </w:p>
        </w:tc>
      </w:tr>
    </w:tbl>
    <w:p>
      <w:pPr>
        <w:pStyle w:val="3"/>
        <w:kinsoku w:val="0"/>
        <w:overflowPunct w:val="0"/>
        <w:spacing w:before="243"/>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四、战略布局</w:t>
      </w:r>
    </w:p>
    <w:p>
      <w:pPr>
        <w:pStyle w:val="3"/>
        <w:kinsoku w:val="0"/>
        <w:overflowPunct w:val="0"/>
        <w:spacing w:before="97" w:line="328" w:lineRule="auto"/>
        <w:ind w:right="265" w:firstLine="680"/>
        <w:jc w:val="both"/>
        <w:rPr>
          <w:rFonts w:hint="eastAsia"/>
          <w:color w:val="231F20"/>
          <w:sz w:val="32"/>
          <w:szCs w:val="24"/>
        </w:rPr>
      </w:pPr>
      <w:r>
        <w:rPr>
          <w:rFonts w:hint="eastAsia"/>
          <w:color w:val="231F20"/>
          <w:sz w:val="32"/>
          <w:szCs w:val="24"/>
        </w:rPr>
        <w:t>以 2035 年建成有全国影响力的甘肃省乃至西北地区综合性区域医疗中心和妇女儿童区域医疗中心为远景目标，合理布局医疗卫生资源，突出新区战略优势，实现医疗卫生资源总量</w:t>
      </w:r>
    </w:p>
    <w:p>
      <w:pPr>
        <w:pStyle w:val="3"/>
        <w:kinsoku w:val="0"/>
        <w:overflowPunct w:val="0"/>
        <w:spacing w:before="97" w:line="328" w:lineRule="auto"/>
        <w:ind w:right="265" w:firstLine="68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73"/>
        <w:jc w:val="both"/>
        <w:rPr>
          <w:rFonts w:hint="eastAsia"/>
          <w:color w:val="231F20"/>
          <w:sz w:val="32"/>
          <w:szCs w:val="24"/>
        </w:rPr>
      </w:pPr>
      <w:r>
        <w:rPr>
          <w:rFonts w:hint="eastAsia"/>
          <w:color w:val="231F20"/>
          <w:sz w:val="32"/>
          <w:szCs w:val="24"/>
        </w:rPr>
        <w:t>有序发展，空间布局均衡配置，资源结构优化完善，功能定位全面落实。突出疾病诊疗专业特色，形成学科发展比较优势。完善基层医疗卫生机构，形成“15 分钟医疗服务圈”。</w:t>
      </w:r>
    </w:p>
    <w:p>
      <w:pPr>
        <w:pStyle w:val="3"/>
        <w:kinsoku w:val="0"/>
        <w:overflowPunct w:val="0"/>
        <w:spacing w:line="328" w:lineRule="auto"/>
        <w:ind w:right="115" w:firstLine="680"/>
        <w:rPr>
          <w:rFonts w:hint="eastAsia"/>
          <w:color w:val="231F20"/>
          <w:sz w:val="32"/>
          <w:szCs w:val="24"/>
        </w:rPr>
      </w:pPr>
      <w:r>
        <w:rPr>
          <w:rFonts w:hint="eastAsia"/>
          <w:color w:val="231F20"/>
          <w:sz w:val="32"/>
          <w:szCs w:val="24"/>
        </w:rPr>
        <w:t>新区医疗卫生服务体系在总体空间布局上规划为“一聚、双拓、多中心”格局。“一聚”：充分发挥新区交通枢纽区位优势，将中川园区打造成为高端医疗卫生资源集聚区，力争建</w:t>
      </w:r>
      <w:r>
        <w:rPr>
          <w:rFonts w:hint="eastAsia"/>
          <w:color w:val="231F20"/>
          <w:spacing w:val="-40"/>
          <w:sz w:val="32"/>
          <w:szCs w:val="24"/>
        </w:rPr>
        <w:t xml:space="preserve">成 </w:t>
      </w:r>
      <w:r>
        <w:rPr>
          <w:rFonts w:hint="eastAsia"/>
          <w:color w:val="231F20"/>
          <w:sz w:val="32"/>
          <w:szCs w:val="24"/>
        </w:rPr>
        <w:t>3</w:t>
      </w:r>
      <w:r>
        <w:rPr>
          <w:rFonts w:hint="eastAsia"/>
          <w:color w:val="231F20"/>
          <w:spacing w:val="-6"/>
          <w:sz w:val="32"/>
          <w:szCs w:val="24"/>
        </w:rPr>
        <w:t xml:space="preserve"> 所三级医院，以及新区妇幼保健院、新区中医医院、新区</w:t>
      </w:r>
      <w:r>
        <w:rPr>
          <w:rFonts w:hint="eastAsia"/>
          <w:color w:val="231F20"/>
          <w:sz w:val="32"/>
          <w:szCs w:val="24"/>
        </w:rPr>
        <w:t>疾病预防控制中心、新区精神卫生中心、新区中心血站、新区</w:t>
      </w:r>
      <w:r>
        <w:rPr>
          <w:rFonts w:hint="eastAsia"/>
          <w:color w:val="231F20"/>
          <w:spacing w:val="-6"/>
          <w:sz w:val="32"/>
          <w:szCs w:val="24"/>
        </w:rPr>
        <w:t>医疗应急物资储备库等医疗卫生机构；“双拓”：将西岔园区、</w:t>
      </w:r>
      <w:r>
        <w:rPr>
          <w:rFonts w:hint="eastAsia"/>
          <w:color w:val="231F20"/>
          <w:spacing w:val="2"/>
          <w:sz w:val="32"/>
          <w:szCs w:val="24"/>
        </w:rPr>
        <w:t>秦川园区作为医疗卫生服务功能拓展区，新建二级综合性医院</w:t>
      </w:r>
      <w:r>
        <w:rPr>
          <w:rFonts w:hint="eastAsia"/>
          <w:color w:val="231F20"/>
          <w:spacing w:val="-22"/>
          <w:sz w:val="32"/>
          <w:szCs w:val="24"/>
        </w:rPr>
        <w:t>及社区医院；“多中心”：改建新建多个区域社区卫生服务中心，</w:t>
      </w:r>
      <w:r>
        <w:rPr>
          <w:rFonts w:hint="eastAsia"/>
          <w:color w:val="231F20"/>
          <w:sz w:val="32"/>
          <w:szCs w:val="24"/>
        </w:rPr>
        <w:t>形成多中心服务网络。</w:t>
      </w:r>
    </w:p>
    <w:p>
      <w:pPr>
        <w:pStyle w:val="3"/>
        <w:kinsoku w:val="0"/>
        <w:overflowPunct w:val="0"/>
        <w:spacing w:line="395" w:lineRule="exact"/>
        <w:ind w:left="957"/>
        <w:jc w:val="both"/>
        <w:rPr>
          <w:rFonts w:hint="eastAsia"/>
          <w:color w:val="231F20"/>
          <w:sz w:val="32"/>
          <w:szCs w:val="24"/>
        </w:rPr>
      </w:pPr>
      <w:r>
        <w:rPr>
          <w:rFonts w:hint="eastAsia"/>
          <w:color w:val="231F20"/>
          <w:sz w:val="32"/>
          <w:szCs w:val="24"/>
        </w:rPr>
        <w:t>根据区县合一，对将要托管的皋兰县 4 镇（石洞镇、什川</w:t>
      </w:r>
    </w:p>
    <w:p>
      <w:pPr>
        <w:pStyle w:val="3"/>
        <w:kinsoku w:val="0"/>
        <w:overflowPunct w:val="0"/>
        <w:spacing w:before="144" w:line="328" w:lineRule="auto"/>
        <w:ind w:right="272"/>
        <w:jc w:val="both"/>
        <w:rPr>
          <w:rFonts w:hint="eastAsia"/>
          <w:color w:val="231F20"/>
          <w:sz w:val="32"/>
          <w:szCs w:val="24"/>
        </w:rPr>
      </w:pPr>
      <w:r>
        <w:rPr>
          <w:rFonts w:hint="eastAsia"/>
          <w:color w:val="231F20"/>
          <w:sz w:val="32"/>
          <w:szCs w:val="24"/>
        </w:rPr>
        <w:t>镇、水阜镇、黑石镇）和永登县上川镇按照人口规模和产业结构发展综合考虑，在现有医疗卫生资源基础上，新建、改建、扩建县级医疗卫生单位和基层医疗机构。</w:t>
      </w:r>
    </w:p>
    <w:p>
      <w:pPr>
        <w:pStyle w:val="3"/>
        <w:kinsoku w:val="0"/>
        <w:overflowPunct w:val="0"/>
        <w:spacing w:before="144" w:line="328" w:lineRule="auto"/>
        <w:ind w:right="272"/>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ind w:left="0"/>
        <w:rPr>
          <w:rFonts w:hint="eastAsia"/>
          <w:sz w:val="20"/>
          <w:szCs w:val="24"/>
        </w:rPr>
      </w:pPr>
    </w:p>
    <w:p>
      <w:pPr>
        <w:pStyle w:val="3"/>
        <w:kinsoku w:val="0"/>
        <w:overflowPunct w:val="0"/>
        <w:ind w:left="0"/>
        <w:rPr>
          <w:rFonts w:hint="eastAsia"/>
          <w:sz w:val="20"/>
          <w:szCs w:val="24"/>
        </w:rPr>
      </w:pPr>
    </w:p>
    <w:p>
      <w:pPr>
        <w:pStyle w:val="3"/>
        <w:kinsoku w:val="0"/>
        <w:overflowPunct w:val="0"/>
        <w:spacing w:before="1"/>
        <w:ind w:left="0"/>
        <w:rPr>
          <w:rFonts w:hint="eastAsia"/>
          <w:sz w:val="23"/>
          <w:szCs w:val="24"/>
        </w:rPr>
      </w:pPr>
    </w:p>
    <w:p>
      <w:pPr>
        <w:pStyle w:val="2"/>
        <w:tabs>
          <w:tab w:val="left" w:pos="1599"/>
        </w:tabs>
        <w:kinsoku w:val="0"/>
        <w:overflowPunct w:val="0"/>
        <w:spacing w:line="693" w:lineRule="exact"/>
        <w:rPr>
          <w:rFonts w:hint="eastAsia"/>
          <w:color w:val="231F20"/>
          <w:sz w:val="40"/>
          <w:szCs w:val="24"/>
        </w:rPr>
      </w:pPr>
      <w:r>
        <w:rPr>
          <w:rFonts w:hint="eastAsia"/>
          <w:color w:val="231F20"/>
          <w:sz w:val="40"/>
          <w:szCs w:val="24"/>
        </w:rPr>
        <w:t>第三章</w:t>
      </w:r>
      <w:r>
        <w:rPr>
          <w:rFonts w:hint="eastAsia"/>
          <w:color w:val="231F20"/>
          <w:sz w:val="40"/>
          <w:szCs w:val="24"/>
        </w:rPr>
        <w:tab/>
      </w:r>
      <w:r>
        <w:rPr>
          <w:rFonts w:hint="eastAsia"/>
          <w:color w:val="231F20"/>
          <w:sz w:val="40"/>
          <w:szCs w:val="24"/>
        </w:rPr>
        <w:t>主要任务和重点项目</w:t>
      </w:r>
    </w:p>
    <w:p>
      <w:pPr>
        <w:pStyle w:val="3"/>
        <w:kinsoku w:val="0"/>
        <w:overflowPunct w:val="0"/>
        <w:spacing w:before="13"/>
        <w:ind w:left="0"/>
        <w:rPr>
          <w:rFonts w:hint="eastAsia" w:ascii="方正小标宋简体" w:hAnsi="方正小标宋简体" w:eastAsia="方正小标宋简体"/>
          <w:sz w:val="24"/>
          <w:szCs w:val="24"/>
        </w:rPr>
      </w:pPr>
    </w:p>
    <w:p>
      <w:pPr>
        <w:pStyle w:val="3"/>
        <w:kinsoku w:val="0"/>
        <w:overflowPunct w:val="0"/>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一、稳步建设“健康新区”</w:t>
      </w:r>
    </w:p>
    <w:p>
      <w:pPr>
        <w:pStyle w:val="3"/>
        <w:kinsoku w:val="0"/>
        <w:overflowPunct w:val="0"/>
        <w:spacing w:before="97" w:line="328" w:lineRule="auto"/>
        <w:ind w:right="270" w:firstLine="680"/>
        <w:jc w:val="both"/>
        <w:rPr>
          <w:rFonts w:hint="eastAsia"/>
          <w:color w:val="231F20"/>
          <w:sz w:val="32"/>
          <w:szCs w:val="24"/>
        </w:rPr>
      </w:pPr>
      <w:r>
        <w:rPr>
          <w:rFonts w:hint="default" w:ascii="楷体_GB2312" w:hAnsi="楷体_GB2312" w:eastAsia="楷体_GB2312"/>
          <w:color w:val="231F20"/>
          <w:sz w:val="32"/>
          <w:szCs w:val="24"/>
        </w:rPr>
        <w:t>（一）推动健康融入所有政策。</w:t>
      </w:r>
      <w:r>
        <w:rPr>
          <w:rFonts w:hint="eastAsia"/>
          <w:color w:val="231F20"/>
          <w:sz w:val="32"/>
          <w:szCs w:val="24"/>
        </w:rPr>
        <w:t>把人民健康放在优先发展的战略地位，健全“将健康理念融入所有政策”的工作机制， 完善公共政策健康风险管理工作机制和指标体系。建立健康影响评价评估制度，系统评估各项经济社会发展规划和政策、重大工程项目对健康的影响，加强各部门各行业的沟通协作，在公共政策中体现健康导向，形成促进健康的合力。</w:t>
      </w:r>
    </w:p>
    <w:p>
      <w:pPr>
        <w:pStyle w:val="3"/>
        <w:kinsoku w:val="0"/>
        <w:overflowPunct w:val="0"/>
        <w:spacing w:line="328" w:lineRule="auto"/>
        <w:ind w:right="115" w:firstLine="680"/>
        <w:rPr>
          <w:rFonts w:hint="eastAsia"/>
          <w:color w:val="231F20"/>
          <w:sz w:val="32"/>
          <w:szCs w:val="24"/>
        </w:rPr>
      </w:pPr>
      <w:r>
        <w:rPr>
          <w:rFonts w:hint="default" w:ascii="楷体_GB2312" w:hAnsi="楷体_GB2312" w:eastAsia="楷体_GB2312"/>
          <w:color w:val="231F20"/>
          <w:sz w:val="32"/>
          <w:szCs w:val="24"/>
        </w:rPr>
        <w:t>（二）提升全民健康素养。</w:t>
      </w:r>
      <w:r>
        <w:rPr>
          <w:rFonts w:hint="eastAsia"/>
          <w:color w:val="231F20"/>
          <w:spacing w:val="-13"/>
          <w:sz w:val="32"/>
          <w:szCs w:val="24"/>
        </w:rPr>
        <w:t>坚持预防为主的方针 , 推动健</w:t>
      </w:r>
      <w:r>
        <w:rPr>
          <w:rFonts w:hint="eastAsia"/>
          <w:color w:val="231F20"/>
          <w:sz w:val="32"/>
          <w:szCs w:val="24"/>
        </w:rPr>
        <w:t>康关口前移。持续推进“全民健康生活方式行动”，强化家庭</w:t>
      </w:r>
      <w:r>
        <w:rPr>
          <w:rFonts w:hint="eastAsia"/>
          <w:color w:val="231F20"/>
          <w:spacing w:val="1"/>
          <w:sz w:val="32"/>
          <w:szCs w:val="24"/>
        </w:rPr>
        <w:t>和高危个体健康生活方式指导及干预，倡导“每个人是自己健</w:t>
      </w:r>
      <w:r>
        <w:rPr>
          <w:rFonts w:hint="eastAsia"/>
          <w:color w:val="231F20"/>
          <w:sz w:val="32"/>
          <w:szCs w:val="24"/>
        </w:rPr>
        <w:t>康的第一责任人”健康理念，努力实现不生病、少生病，延长</w:t>
      </w:r>
      <w:r>
        <w:rPr>
          <w:rFonts w:hint="eastAsia"/>
          <w:color w:val="231F20"/>
          <w:spacing w:val="-8"/>
          <w:sz w:val="32"/>
          <w:szCs w:val="24"/>
        </w:rPr>
        <w:t xml:space="preserve">健康预期寿命。深入开展卫生应急、科学健身、急救知识宣教， </w:t>
      </w:r>
      <w:r>
        <w:rPr>
          <w:rFonts w:hint="eastAsia"/>
          <w:color w:val="231F20"/>
          <w:spacing w:val="2"/>
          <w:sz w:val="32"/>
          <w:szCs w:val="24"/>
        </w:rPr>
        <w:t>提高居民主动防病意识，增强对突发公共卫生事件的认知水平</w:t>
      </w:r>
      <w:r>
        <w:rPr>
          <w:rFonts w:hint="eastAsia"/>
          <w:color w:val="231F20"/>
          <w:sz w:val="32"/>
          <w:szCs w:val="24"/>
        </w:rPr>
        <w:t>和预防自救互救能力。加强精神文明建设，发展健康文化，移风易俗，培育良好的生活习惯。强化健康教育阵地建设，持续推动健康教育进社区、进机关、进校园、进企业、进农村、进家庭。</w:t>
      </w:r>
    </w:p>
    <w:p>
      <w:pPr>
        <w:pStyle w:val="3"/>
        <w:kinsoku w:val="0"/>
        <w:overflowPunct w:val="0"/>
        <w:spacing w:line="393" w:lineRule="exact"/>
        <w:ind w:left="957"/>
        <w:rPr>
          <w:rFonts w:hint="eastAsia"/>
          <w:color w:val="231F20"/>
          <w:sz w:val="32"/>
          <w:szCs w:val="24"/>
        </w:rPr>
      </w:pPr>
      <w:r>
        <w:rPr>
          <w:rFonts w:hint="default" w:ascii="楷体_GB2312" w:hAnsi="楷体_GB2312" w:eastAsia="楷体_GB2312"/>
          <w:color w:val="231F20"/>
          <w:sz w:val="32"/>
          <w:szCs w:val="24"/>
        </w:rPr>
        <w:t>（三）加强爱国卫生工作。</w:t>
      </w:r>
      <w:r>
        <w:rPr>
          <w:rFonts w:hint="eastAsia"/>
          <w:color w:val="231F20"/>
          <w:sz w:val="32"/>
          <w:szCs w:val="24"/>
        </w:rPr>
        <w:t>实现四级爱国卫生运动委员会</w:t>
      </w:r>
    </w:p>
    <w:p>
      <w:pPr>
        <w:pStyle w:val="3"/>
        <w:kinsoku w:val="0"/>
        <w:overflowPunct w:val="0"/>
        <w:spacing w:before="140" w:line="328" w:lineRule="auto"/>
        <w:ind w:right="270"/>
        <w:jc w:val="both"/>
        <w:rPr>
          <w:rFonts w:hint="eastAsia"/>
          <w:color w:val="231F20"/>
          <w:sz w:val="32"/>
          <w:szCs w:val="24"/>
        </w:rPr>
      </w:pPr>
      <w:r>
        <w:rPr>
          <w:rFonts w:hint="eastAsia"/>
          <w:color w:val="231F20"/>
          <w:spacing w:val="1"/>
          <w:sz w:val="32"/>
          <w:szCs w:val="24"/>
        </w:rPr>
        <w:t>及其办公室全覆盖，结合常态化疫情防控要求，持续推进城乡</w:t>
      </w:r>
      <w:r>
        <w:rPr>
          <w:rFonts w:hint="eastAsia"/>
          <w:color w:val="231F20"/>
          <w:sz w:val="32"/>
          <w:szCs w:val="24"/>
        </w:rPr>
        <w:t>环境卫生整洁行动，加强城乡人居环境综合整治。全面推进卫生城镇创建和健康城市、健康村镇建设。加强农村改厕技术指</w:t>
      </w:r>
    </w:p>
    <w:p>
      <w:pPr>
        <w:pStyle w:val="3"/>
        <w:kinsoku w:val="0"/>
        <w:overflowPunct w:val="0"/>
        <w:spacing w:before="140" w:line="328" w:lineRule="auto"/>
        <w:ind w:right="27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70"/>
        <w:jc w:val="both"/>
        <w:rPr>
          <w:rFonts w:hint="eastAsia"/>
          <w:color w:val="231F20"/>
          <w:sz w:val="32"/>
          <w:szCs w:val="24"/>
        </w:rPr>
      </w:pPr>
      <w:r>
        <w:rPr>
          <w:rFonts w:hint="eastAsia"/>
          <w:color w:val="231F20"/>
          <w:sz w:val="32"/>
          <w:szCs w:val="24"/>
        </w:rPr>
        <w:t>导，强化病媒生物防制。公共场所控制吸烟，加大控烟宣传教育，强化控烟执法监督。推动党政机关和国有企事业单位创建</w:t>
      </w:r>
      <w:r>
        <w:rPr>
          <w:rFonts w:hint="eastAsia"/>
          <w:color w:val="231F20"/>
          <w:spacing w:val="-17"/>
          <w:sz w:val="32"/>
          <w:szCs w:val="24"/>
        </w:rPr>
        <w:t xml:space="preserve">无烟单位。到 </w:t>
      </w:r>
      <w:r>
        <w:rPr>
          <w:rFonts w:hint="eastAsia"/>
          <w:color w:val="231F20"/>
          <w:sz w:val="32"/>
          <w:szCs w:val="24"/>
        </w:rPr>
        <w:t>2025</w:t>
      </w:r>
      <w:r>
        <w:rPr>
          <w:rFonts w:hint="eastAsia"/>
          <w:color w:val="231F20"/>
          <w:spacing w:val="-12"/>
          <w:sz w:val="32"/>
          <w:szCs w:val="24"/>
        </w:rPr>
        <w:t xml:space="preserve"> 年，新区力争达到省级卫生城市创建标准， </w:t>
      </w:r>
      <w:r>
        <w:rPr>
          <w:rFonts w:hint="eastAsia"/>
          <w:color w:val="231F20"/>
          <w:sz w:val="32"/>
          <w:szCs w:val="24"/>
        </w:rPr>
        <w:t>建成一批省级卫生乡镇、卫生村。</w:t>
      </w:r>
    </w:p>
    <w:p>
      <w:pPr>
        <w:pStyle w:val="3"/>
        <w:kinsoku w:val="0"/>
        <w:overflowPunct w:val="0"/>
        <w:spacing w:before="9"/>
        <w:ind w:left="0"/>
        <w:rPr>
          <w:rFonts w:hint="eastAsia"/>
          <w:sz w:val="8"/>
          <w:szCs w:val="24"/>
        </w:rPr>
      </w:pPr>
      <w:r>
        <w:rPr>
          <w:rFonts w:hint="default"/>
          <w:color w:val="231F20"/>
          <w:sz w:val="32"/>
          <w:szCs w:val="24"/>
        </w:rPr>
        <mc:AlternateContent>
          <mc:Choice Requires="wps">
            <w:drawing>
              <wp:anchor distT="0" distB="0" distL="0" distR="0" simplePos="0" relativeHeight="251658240" behindDoc="0" locked="0" layoutInCell="1" allowOverlap="1">
                <wp:simplePos x="0" y="0"/>
                <wp:positionH relativeFrom="page">
                  <wp:posOffset>1120775</wp:posOffset>
                </wp:positionH>
                <wp:positionV relativeFrom="paragraph">
                  <wp:posOffset>104140</wp:posOffset>
                </wp:positionV>
                <wp:extent cx="5535295" cy="2115185"/>
                <wp:effectExtent l="8255" t="8255" r="27305" b="22225"/>
                <wp:wrapTopAndBottom/>
                <wp:docPr id="1" name="文本框 2"/>
                <wp:cNvGraphicFramePr/>
                <a:graphic xmlns:a="http://schemas.openxmlformats.org/drawingml/2006/main">
                  <a:graphicData uri="http://schemas.microsoft.com/office/word/2010/wordprocessingShape">
                    <wps:wsp>
                      <wps:cNvSpPr txBox="true"/>
                      <wps:spPr>
                        <a:xfrm>
                          <a:off x="0" y="0"/>
                          <a:ext cx="5535295" cy="2115185"/>
                        </a:xfrm>
                        <a:prstGeom prst="rect">
                          <a:avLst/>
                        </a:prstGeom>
                        <a:noFill/>
                        <a:ln w="16509" cap="flat" cmpd="sng">
                          <a:solidFill>
                            <a:srgbClr val="231F20"/>
                          </a:solidFill>
                          <a:prstDash val="solid"/>
                          <a:miter/>
                          <a:headEnd type="none" w="med" len="med"/>
                          <a:tailEnd type="none" w="med" len="med"/>
                        </a:ln>
                      </wps:spPr>
                      <wps:txbx>
                        <w:txbxContent>
                          <w:p>
                            <w:pPr>
                              <w:pStyle w:val="3"/>
                              <w:kinsoku w:val="0"/>
                              <w:overflowPunct w:val="0"/>
                              <w:spacing w:before="5"/>
                              <w:ind w:left="1311" w:right="1311"/>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1：“健康新区”建设</w:t>
                            </w:r>
                          </w:p>
                          <w:p>
                            <w:pPr>
                              <w:pStyle w:val="3"/>
                              <w:numPr>
                                <w:ilvl w:val="0"/>
                                <w:numId w:val="1"/>
                              </w:numPr>
                              <w:tabs>
                                <w:tab w:val="left" w:pos="1126"/>
                              </w:tabs>
                              <w:kinsoku w:val="0"/>
                              <w:overflowPunct w:val="0"/>
                              <w:spacing w:before="97" w:line="328" w:lineRule="auto"/>
                              <w:ind w:left="43" w:right="33" w:firstLine="680"/>
                              <w:jc w:val="both"/>
                              <w:rPr>
                                <w:rFonts w:hint="eastAsia"/>
                                <w:color w:val="231F20"/>
                                <w:spacing w:val="8"/>
                                <w:sz w:val="32"/>
                                <w:szCs w:val="24"/>
                              </w:rPr>
                            </w:pPr>
                            <w:r>
                              <w:rPr>
                                <w:rFonts w:hint="eastAsia"/>
                                <w:color w:val="231F20"/>
                                <w:spacing w:val="6"/>
                                <w:sz w:val="32"/>
                                <w:szCs w:val="24"/>
                              </w:rPr>
                              <w:t>完善公共政策健康风险管理工作机制和指标体系，建</w:t>
                            </w:r>
                            <w:r>
                              <w:rPr>
                                <w:rFonts w:hint="eastAsia"/>
                                <w:color w:val="231F20"/>
                                <w:spacing w:val="8"/>
                                <w:sz w:val="32"/>
                                <w:szCs w:val="24"/>
                              </w:rPr>
                              <w:t>立健康影响评价评估制度，开展全民健康生活方式行动，建设健康教育阵地。</w:t>
                            </w:r>
                          </w:p>
                          <w:p>
                            <w:pPr>
                              <w:pStyle w:val="3"/>
                              <w:numPr>
                                <w:ilvl w:val="0"/>
                                <w:numId w:val="1"/>
                              </w:numPr>
                              <w:tabs>
                                <w:tab w:val="left" w:pos="1127"/>
                              </w:tabs>
                              <w:kinsoku w:val="0"/>
                              <w:overflowPunct w:val="0"/>
                              <w:spacing w:line="405" w:lineRule="exact"/>
                              <w:ind w:left="1126"/>
                              <w:jc w:val="both"/>
                              <w:rPr>
                                <w:rFonts w:hint="eastAsia"/>
                                <w:color w:val="231F20"/>
                                <w:spacing w:val="6"/>
                                <w:sz w:val="32"/>
                                <w:szCs w:val="24"/>
                              </w:rPr>
                            </w:pPr>
                            <w:r>
                              <w:rPr>
                                <w:rFonts w:hint="eastAsia"/>
                                <w:color w:val="231F20"/>
                                <w:spacing w:val="6"/>
                                <w:sz w:val="32"/>
                                <w:szCs w:val="24"/>
                              </w:rPr>
                              <w:t>开展城乡环境卫生整洁行动，创建无烟单位，创建省</w:t>
                            </w:r>
                          </w:p>
                          <w:p>
                            <w:pPr>
                              <w:pStyle w:val="3"/>
                              <w:kinsoku w:val="0"/>
                              <w:overflowPunct w:val="0"/>
                              <w:spacing w:before="150"/>
                              <w:ind w:left="43"/>
                              <w:rPr>
                                <w:rFonts w:hint="eastAsia"/>
                                <w:color w:val="231F20"/>
                                <w:sz w:val="32"/>
                                <w:szCs w:val="24"/>
                              </w:rPr>
                            </w:pPr>
                            <w:r>
                              <w:rPr>
                                <w:rFonts w:hint="eastAsia"/>
                                <w:color w:val="231F20"/>
                                <w:sz w:val="32"/>
                                <w:szCs w:val="24"/>
                              </w:rPr>
                              <w:t>级卫生乡镇、卫生村。</w:t>
                            </w:r>
                          </w:p>
                        </w:txbxContent>
                      </wps:txbx>
                      <wps:bodyPr vert="horz" wrap="square" lIns="0" tIns="0" rIns="0" bIns="0" upright="true"/>
                    </wps:wsp>
                  </a:graphicData>
                </a:graphic>
              </wp:anchor>
            </w:drawing>
          </mc:Choice>
          <mc:Fallback>
            <w:pict>
              <v:shape id="文本框 2" o:spid="_x0000_s1026" o:spt="202" type="#_x0000_t202" style="position:absolute;left:0pt;margin-left:88.25pt;margin-top:8.2pt;height:166.55pt;width:435.85pt;mso-position-horizontal-relative:page;mso-wrap-distance-bottom:0pt;mso-wrap-distance-top:0pt;z-index:251658240;mso-width-relative:page;mso-height-relative:page;" filled="f" stroked="t" coordsize="21600,21600" o:gfxdata="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pvw5h9kAAAALAQAADwAAAAAAAAABACAAAAA4AAAAZHJzL2Rvd25yZXYueG1sUEsBAhQAFAAA&#10;AAgAh07iQO0oMdoRAgAABQQAAA4AAAAAAAAAAQAgAAAAPgEAAGRycy9lMm9Eb2MueG1sUEsFBgAA&#10;AAAGAAYAWQEAAMEFAAAAAA==&#10;">
                <v:fill on="f" focussize="0,0"/>
                <v:stroke weight="1.29992125984252pt" color="#231F20" joinstyle="miter"/>
                <v:imagedata o:title=""/>
                <o:lock v:ext="edit" aspectratio="f"/>
                <v:textbox inset="0mm,0mm,0mm,0mm">
                  <w:txbxContent>
                    <w:p>
                      <w:pPr>
                        <w:pStyle w:val="3"/>
                        <w:kinsoku w:val="0"/>
                        <w:overflowPunct w:val="0"/>
                        <w:spacing w:before="5"/>
                        <w:ind w:left="1311" w:right="1311"/>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1：“健康新区”建设</w:t>
                      </w:r>
                    </w:p>
                    <w:p>
                      <w:pPr>
                        <w:pStyle w:val="3"/>
                        <w:numPr>
                          <w:ilvl w:val="0"/>
                          <w:numId w:val="1"/>
                        </w:numPr>
                        <w:tabs>
                          <w:tab w:val="left" w:pos="1126"/>
                        </w:tabs>
                        <w:kinsoku w:val="0"/>
                        <w:overflowPunct w:val="0"/>
                        <w:spacing w:before="97" w:line="328" w:lineRule="auto"/>
                        <w:ind w:left="43" w:right="33" w:firstLine="680"/>
                        <w:jc w:val="both"/>
                        <w:rPr>
                          <w:rFonts w:hint="eastAsia"/>
                          <w:color w:val="231F20"/>
                          <w:spacing w:val="8"/>
                          <w:sz w:val="32"/>
                          <w:szCs w:val="24"/>
                        </w:rPr>
                      </w:pPr>
                      <w:r>
                        <w:rPr>
                          <w:rFonts w:hint="eastAsia"/>
                          <w:color w:val="231F20"/>
                          <w:spacing w:val="6"/>
                          <w:sz w:val="32"/>
                          <w:szCs w:val="24"/>
                        </w:rPr>
                        <w:t>完善公共政策健康风险管理工作机制和指标体系，建</w:t>
                      </w:r>
                      <w:r>
                        <w:rPr>
                          <w:rFonts w:hint="eastAsia"/>
                          <w:color w:val="231F20"/>
                          <w:spacing w:val="8"/>
                          <w:sz w:val="32"/>
                          <w:szCs w:val="24"/>
                        </w:rPr>
                        <w:t>立健康影响评价评估制度，开展全民健康生活方式行动，建设健康教育阵地。</w:t>
                      </w:r>
                    </w:p>
                    <w:p>
                      <w:pPr>
                        <w:pStyle w:val="3"/>
                        <w:numPr>
                          <w:ilvl w:val="0"/>
                          <w:numId w:val="1"/>
                        </w:numPr>
                        <w:tabs>
                          <w:tab w:val="left" w:pos="1127"/>
                        </w:tabs>
                        <w:kinsoku w:val="0"/>
                        <w:overflowPunct w:val="0"/>
                        <w:spacing w:line="405" w:lineRule="exact"/>
                        <w:ind w:left="1126"/>
                        <w:jc w:val="both"/>
                        <w:rPr>
                          <w:rFonts w:hint="eastAsia"/>
                          <w:color w:val="231F20"/>
                          <w:spacing w:val="6"/>
                          <w:sz w:val="32"/>
                          <w:szCs w:val="24"/>
                        </w:rPr>
                      </w:pPr>
                      <w:r>
                        <w:rPr>
                          <w:rFonts w:hint="eastAsia"/>
                          <w:color w:val="231F20"/>
                          <w:spacing w:val="6"/>
                          <w:sz w:val="32"/>
                          <w:szCs w:val="24"/>
                        </w:rPr>
                        <w:t>开展城乡环境卫生整洁行动，创建无烟单位，创建省</w:t>
                      </w:r>
                    </w:p>
                    <w:p>
                      <w:pPr>
                        <w:pStyle w:val="3"/>
                        <w:kinsoku w:val="0"/>
                        <w:overflowPunct w:val="0"/>
                        <w:spacing w:before="150"/>
                        <w:ind w:left="43"/>
                        <w:rPr>
                          <w:rFonts w:hint="eastAsia"/>
                          <w:color w:val="231F20"/>
                          <w:sz w:val="32"/>
                          <w:szCs w:val="24"/>
                        </w:rPr>
                      </w:pPr>
                      <w:r>
                        <w:rPr>
                          <w:rFonts w:hint="eastAsia"/>
                          <w:color w:val="231F20"/>
                          <w:sz w:val="32"/>
                          <w:szCs w:val="24"/>
                        </w:rPr>
                        <w:t>级卫生乡镇、卫生村。</w:t>
                      </w:r>
                    </w:p>
                  </w:txbxContent>
                </v:textbox>
                <w10:wrap type="topAndBottom"/>
              </v:shape>
            </w:pict>
          </mc:Fallback>
        </mc:AlternateContent>
      </w:r>
    </w:p>
    <w:p>
      <w:pPr>
        <w:pStyle w:val="3"/>
        <w:kinsoku w:val="0"/>
        <w:overflowPunct w:val="0"/>
        <w:spacing w:before="1"/>
        <w:ind w:left="0"/>
        <w:rPr>
          <w:rFonts w:hint="eastAsia"/>
          <w:sz w:val="26"/>
          <w:szCs w:val="24"/>
        </w:rPr>
      </w:pPr>
    </w:p>
    <w:p>
      <w:pPr>
        <w:pStyle w:val="3"/>
        <w:kinsoku w:val="0"/>
        <w:overflowPunct w:val="0"/>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二、优化医疗卫生资源配置</w:t>
      </w:r>
    </w:p>
    <w:p>
      <w:pPr>
        <w:pStyle w:val="3"/>
        <w:kinsoku w:val="0"/>
        <w:overflowPunct w:val="0"/>
        <w:spacing w:before="97" w:line="328" w:lineRule="auto"/>
        <w:ind w:right="115" w:firstLine="680"/>
        <w:jc w:val="both"/>
        <w:rPr>
          <w:rFonts w:hint="eastAsia"/>
          <w:color w:val="231F20"/>
          <w:spacing w:val="-27"/>
          <w:sz w:val="32"/>
          <w:szCs w:val="24"/>
        </w:rPr>
      </w:pPr>
      <w:r>
        <w:rPr>
          <w:rFonts w:hint="default" w:ascii="楷体_GB2312" w:hAnsi="楷体_GB2312" w:eastAsia="楷体_GB2312"/>
          <w:color w:val="231F20"/>
          <w:sz w:val="32"/>
          <w:szCs w:val="24"/>
        </w:rPr>
        <w:t>（四）强化医疗卫生基础设施建设。</w:t>
      </w:r>
      <w:r>
        <w:rPr>
          <w:rFonts w:hint="eastAsia"/>
          <w:color w:val="231F20"/>
          <w:sz w:val="32"/>
          <w:szCs w:val="24"/>
        </w:rPr>
        <w:t>积极引进省级综合性医院、专科医疗机构入驻新区或在新区办分院，按照“非禁即入”原则，支持社会力量通过市场化运作方式举办医疗及医养结合机构。兰州新区疾病预防控制中心、省级集中医学观察隔离点、医疗应急物资储备库建成投入使用，新建妇幼保健院、中医院、中心血站、精神卫生中心及西岔人民医院等医疗卫生</w:t>
      </w:r>
      <w:r>
        <w:rPr>
          <w:rFonts w:hint="eastAsia"/>
          <w:color w:val="231F20"/>
          <w:spacing w:val="-15"/>
          <w:sz w:val="32"/>
          <w:szCs w:val="24"/>
        </w:rPr>
        <w:t xml:space="preserve">机构，将 </w:t>
      </w:r>
      <w:r>
        <w:rPr>
          <w:rFonts w:hint="eastAsia"/>
          <w:color w:val="231F20"/>
          <w:sz w:val="32"/>
          <w:szCs w:val="24"/>
        </w:rPr>
        <w:t>2-3</w:t>
      </w:r>
      <w:r>
        <w:rPr>
          <w:rFonts w:hint="eastAsia"/>
          <w:color w:val="231F20"/>
          <w:spacing w:val="-6"/>
          <w:sz w:val="32"/>
          <w:szCs w:val="24"/>
        </w:rPr>
        <w:t xml:space="preserve"> 所社区卫生服务中心建设成为社区医院，在新增</w:t>
      </w:r>
      <w:r>
        <w:rPr>
          <w:rFonts w:hint="eastAsia"/>
          <w:color w:val="231F20"/>
          <w:sz w:val="32"/>
          <w:szCs w:val="24"/>
        </w:rPr>
        <w:t>避险搬迁群众安置点、新建小区配建基层医疗卫生服务机构， 公共卫生服务延伸至产业园区、职教园区、商业区，为密集型</w:t>
      </w:r>
      <w:r>
        <w:rPr>
          <w:rFonts w:hint="eastAsia"/>
          <w:color w:val="231F20"/>
          <w:spacing w:val="-8"/>
          <w:sz w:val="32"/>
          <w:szCs w:val="24"/>
        </w:rPr>
        <w:t>职业人群提供健康服务。至</w:t>
      </w:r>
      <w:r>
        <w:rPr>
          <w:rFonts w:hint="eastAsia"/>
          <w:color w:val="231F20"/>
          <w:sz w:val="32"/>
          <w:szCs w:val="24"/>
        </w:rPr>
        <w:t>2025</w:t>
      </w:r>
      <w:r>
        <w:rPr>
          <w:rFonts w:hint="eastAsia"/>
          <w:color w:val="231F20"/>
          <w:spacing w:val="-24"/>
          <w:sz w:val="32"/>
          <w:szCs w:val="24"/>
        </w:rPr>
        <w:t xml:space="preserve"> 年，新区病床达到</w:t>
      </w:r>
      <w:r>
        <w:rPr>
          <w:rFonts w:hint="eastAsia"/>
          <w:color w:val="231F20"/>
          <w:sz w:val="32"/>
          <w:szCs w:val="24"/>
        </w:rPr>
        <w:t>6000</w:t>
      </w:r>
      <w:r>
        <w:rPr>
          <w:rFonts w:hint="eastAsia"/>
          <w:color w:val="231F20"/>
          <w:spacing w:val="-27"/>
          <w:sz w:val="32"/>
          <w:szCs w:val="24"/>
        </w:rPr>
        <w:t xml:space="preserve"> 张以上，</w:t>
      </w:r>
    </w:p>
    <w:p>
      <w:pPr>
        <w:pStyle w:val="3"/>
        <w:kinsoku w:val="0"/>
        <w:overflowPunct w:val="0"/>
        <w:spacing w:line="393" w:lineRule="exact"/>
        <w:rPr>
          <w:rFonts w:hint="eastAsia"/>
          <w:color w:val="231F20"/>
          <w:sz w:val="32"/>
          <w:szCs w:val="24"/>
        </w:rPr>
      </w:pPr>
      <w:r>
        <w:rPr>
          <w:rFonts w:hint="eastAsia"/>
          <w:color w:val="231F20"/>
          <w:sz w:val="32"/>
          <w:szCs w:val="24"/>
        </w:rPr>
        <w:t>力争 3 家综合医院达到省级三级医院水平，利用区域和技术品</w:t>
      </w:r>
    </w:p>
    <w:p>
      <w:pPr>
        <w:pStyle w:val="3"/>
        <w:kinsoku w:val="0"/>
        <w:overflowPunct w:val="0"/>
        <w:spacing w:before="150"/>
        <w:rPr>
          <w:rFonts w:hint="eastAsia"/>
          <w:color w:val="231F20"/>
          <w:sz w:val="32"/>
          <w:szCs w:val="24"/>
        </w:rPr>
      </w:pPr>
      <w:r>
        <w:rPr>
          <w:rFonts w:hint="eastAsia"/>
          <w:color w:val="231F20"/>
          <w:sz w:val="32"/>
          <w:szCs w:val="24"/>
        </w:rPr>
        <w:t>牌优势打造甘肃省乃至西北地区综合性区域医疗中心。</w:t>
      </w:r>
    </w:p>
    <w:p>
      <w:pPr>
        <w:pStyle w:val="3"/>
        <w:kinsoku w:val="0"/>
        <w:overflowPunct w:val="0"/>
        <w:spacing w:before="150"/>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firstLine="680"/>
        <w:rPr>
          <w:rFonts w:hint="eastAsia"/>
          <w:color w:val="231F20"/>
          <w:sz w:val="32"/>
          <w:szCs w:val="24"/>
        </w:rPr>
      </w:pPr>
      <w:r>
        <w:rPr>
          <w:rFonts w:hint="default" w:ascii="楷体_GB2312" w:hAnsi="楷体_GB2312" w:eastAsia="楷体_GB2312"/>
          <w:color w:val="231F20"/>
          <w:sz w:val="32"/>
          <w:szCs w:val="24"/>
        </w:rPr>
        <w:t>（五）强化公共卫生服务体系建设。</w:t>
      </w:r>
      <w:r>
        <w:rPr>
          <w:rFonts w:hint="eastAsia"/>
          <w:color w:val="231F20"/>
          <w:sz w:val="32"/>
          <w:szCs w:val="24"/>
        </w:rPr>
        <w:t xml:space="preserve">科学配置医疗资源， </w:t>
      </w:r>
      <w:r>
        <w:rPr>
          <w:rFonts w:hint="eastAsia"/>
          <w:color w:val="231F20"/>
          <w:spacing w:val="-8"/>
          <w:sz w:val="32"/>
          <w:szCs w:val="24"/>
        </w:rPr>
        <w:t>由三级医院牵头，基层医疗卫生机构、公共卫生机构以及康复、</w:t>
      </w:r>
      <w:r>
        <w:rPr>
          <w:rFonts w:hint="eastAsia"/>
          <w:color w:val="231F20"/>
          <w:spacing w:val="-16"/>
          <w:sz w:val="32"/>
          <w:szCs w:val="24"/>
        </w:rPr>
        <w:t>护理等其他医疗机构共同参与，建设公共卫生专科</w:t>
      </w:r>
      <w:r>
        <w:rPr>
          <w:rFonts w:hint="eastAsia"/>
          <w:color w:val="231F20"/>
          <w:sz w:val="32"/>
          <w:szCs w:val="24"/>
        </w:rPr>
        <w:t>（技术</w:t>
      </w:r>
      <w:r>
        <w:rPr>
          <w:rFonts w:hint="eastAsia"/>
          <w:color w:val="231F20"/>
          <w:spacing w:val="-130"/>
          <w:sz w:val="32"/>
          <w:szCs w:val="24"/>
        </w:rPr>
        <w:t>）</w:t>
      </w:r>
      <w:r>
        <w:rPr>
          <w:rFonts w:hint="eastAsia"/>
          <w:color w:val="231F20"/>
          <w:spacing w:val="-6"/>
          <w:sz w:val="32"/>
          <w:szCs w:val="24"/>
        </w:rPr>
        <w:t>联盟。</w:t>
      </w:r>
      <w:r>
        <w:rPr>
          <w:rFonts w:hint="eastAsia"/>
          <w:color w:val="231F20"/>
          <w:sz w:val="32"/>
          <w:szCs w:val="24"/>
        </w:rPr>
        <w:t>明确成员责任，畅通转诊渠道，实现同质化服务。加强综合医院公共卫生科、院感科建设，搭建紧密型防治结合、公共卫生医师与临床医师柔性流动平台，提升临床医师公共卫生服务能力。充分发挥中医药在治未病、疾病治疗和疾病康复中的重要作用。推进建立疾控机构、二级以上医疗机构、基层医疗卫生机构共同参与的慢性病防、治、管、教“四位一体”医防融合服务模式，做实公共卫生服务。改善基层基础设施条件，发展社区医院。</w:t>
      </w:r>
    </w:p>
    <w:p>
      <w:pPr>
        <w:pStyle w:val="3"/>
        <w:kinsoku w:val="0"/>
        <w:overflowPunct w:val="0"/>
        <w:spacing w:line="391" w:lineRule="exact"/>
        <w:ind w:left="957"/>
        <w:rPr>
          <w:rFonts w:hint="eastAsia"/>
          <w:color w:val="231F20"/>
          <w:sz w:val="32"/>
          <w:szCs w:val="24"/>
        </w:rPr>
      </w:pPr>
      <w:r>
        <w:rPr>
          <w:rFonts w:hint="default" w:ascii="楷体_GB2312" w:hAnsi="楷体_GB2312" w:eastAsia="楷体_GB2312"/>
          <w:color w:val="231F20"/>
          <w:sz w:val="32"/>
          <w:szCs w:val="24"/>
        </w:rPr>
        <w:t>（六）加强基层卫生服务能力建设。</w:t>
      </w:r>
      <w:r>
        <w:rPr>
          <w:rFonts w:hint="eastAsia"/>
          <w:color w:val="231F20"/>
          <w:sz w:val="32"/>
          <w:szCs w:val="24"/>
        </w:rPr>
        <w:t>加强基层卫生服务能</w:t>
      </w:r>
    </w:p>
    <w:p>
      <w:pPr>
        <w:pStyle w:val="3"/>
        <w:kinsoku w:val="0"/>
        <w:overflowPunct w:val="0"/>
        <w:spacing w:before="150" w:line="328" w:lineRule="auto"/>
        <w:ind w:right="270"/>
        <w:jc w:val="both"/>
        <w:rPr>
          <w:rFonts w:hint="eastAsia"/>
          <w:color w:val="231F20"/>
          <w:spacing w:val="-12"/>
          <w:sz w:val="32"/>
          <w:szCs w:val="24"/>
        </w:rPr>
      </w:pPr>
      <w:r>
        <w:rPr>
          <w:rFonts w:hint="eastAsia"/>
          <w:color w:val="231F20"/>
          <w:sz w:val="32"/>
          <w:szCs w:val="24"/>
        </w:rPr>
        <w:t>力建设。建立基层医疗机构与村</w:t>
      </w:r>
      <w:r>
        <w:rPr>
          <w:rFonts w:hint="eastAsia"/>
          <w:color w:val="231F20"/>
          <w:spacing w:val="3"/>
          <w:sz w:val="32"/>
          <w:szCs w:val="24"/>
        </w:rPr>
        <w:t>（</w:t>
      </w:r>
      <w:r>
        <w:rPr>
          <w:rFonts w:hint="eastAsia"/>
          <w:color w:val="231F20"/>
          <w:sz w:val="32"/>
          <w:szCs w:val="24"/>
        </w:rPr>
        <w:t>居</w:t>
      </w:r>
      <w:r>
        <w:rPr>
          <w:rFonts w:hint="eastAsia"/>
          <w:color w:val="231F20"/>
          <w:spacing w:val="3"/>
          <w:sz w:val="32"/>
          <w:szCs w:val="24"/>
        </w:rPr>
        <w:t>）委员会公共卫生委员会</w:t>
      </w:r>
      <w:r>
        <w:rPr>
          <w:rFonts w:hint="eastAsia"/>
          <w:color w:val="231F20"/>
          <w:spacing w:val="1"/>
          <w:sz w:val="32"/>
          <w:szCs w:val="24"/>
        </w:rPr>
        <w:t>协同开展居民健康管理的新机制。构建资源统筹、高效顺畅的</w:t>
      </w:r>
      <w:r>
        <w:rPr>
          <w:rFonts w:hint="eastAsia"/>
          <w:color w:val="231F20"/>
          <w:sz w:val="32"/>
          <w:szCs w:val="24"/>
        </w:rPr>
        <w:t>疾病筛查、健康教育、慢病管控、家庭医生签约等一体化服务</w:t>
      </w:r>
      <w:r>
        <w:rPr>
          <w:rFonts w:hint="eastAsia"/>
          <w:color w:val="231F20"/>
          <w:spacing w:val="-12"/>
          <w:sz w:val="32"/>
          <w:szCs w:val="24"/>
        </w:rPr>
        <w:t xml:space="preserve">新模式。到 </w:t>
      </w:r>
      <w:r>
        <w:rPr>
          <w:rFonts w:hint="eastAsia"/>
          <w:color w:val="231F20"/>
          <w:sz w:val="32"/>
          <w:szCs w:val="24"/>
        </w:rPr>
        <w:t>2025</w:t>
      </w:r>
      <w:r>
        <w:rPr>
          <w:rFonts w:hint="eastAsia"/>
          <w:color w:val="231F20"/>
          <w:spacing w:val="-26"/>
          <w:sz w:val="32"/>
          <w:szCs w:val="24"/>
        </w:rPr>
        <w:t xml:space="preserve"> 年，建成 </w:t>
      </w:r>
      <w:r>
        <w:rPr>
          <w:rFonts w:hint="eastAsia"/>
          <w:color w:val="231F20"/>
          <w:sz w:val="32"/>
          <w:szCs w:val="24"/>
        </w:rPr>
        <w:t>15</w:t>
      </w:r>
      <w:r>
        <w:rPr>
          <w:rFonts w:hint="eastAsia"/>
          <w:color w:val="231F20"/>
          <w:spacing w:val="-15"/>
          <w:sz w:val="32"/>
          <w:szCs w:val="24"/>
        </w:rPr>
        <w:t xml:space="preserve"> 分钟就医圈，确保 </w:t>
      </w:r>
      <w:r>
        <w:rPr>
          <w:rFonts w:hint="eastAsia"/>
          <w:color w:val="231F20"/>
          <w:sz w:val="32"/>
          <w:szCs w:val="24"/>
        </w:rPr>
        <w:t>90%</w:t>
      </w:r>
      <w:r>
        <w:rPr>
          <w:rFonts w:hint="eastAsia"/>
          <w:color w:val="231F20"/>
          <w:spacing w:val="-12"/>
          <w:sz w:val="32"/>
          <w:szCs w:val="24"/>
        </w:rPr>
        <w:t xml:space="preserve"> 以上的居</w:t>
      </w:r>
    </w:p>
    <w:p>
      <w:pPr>
        <w:pStyle w:val="3"/>
        <w:kinsoku w:val="0"/>
        <w:overflowPunct w:val="0"/>
        <w:spacing w:line="328" w:lineRule="auto"/>
        <w:ind w:right="268"/>
        <w:jc w:val="both"/>
        <w:rPr>
          <w:rFonts w:hint="eastAsia"/>
          <w:color w:val="231F20"/>
          <w:spacing w:val="-7"/>
          <w:sz w:val="32"/>
          <w:szCs w:val="24"/>
        </w:rPr>
      </w:pPr>
      <w:r>
        <w:rPr>
          <w:rFonts w:hint="eastAsia"/>
          <w:color w:val="231F20"/>
          <w:spacing w:val="-4"/>
          <w:sz w:val="32"/>
          <w:szCs w:val="24"/>
        </w:rPr>
        <w:t xml:space="preserve">民从住所步行 </w:t>
      </w:r>
      <w:r>
        <w:rPr>
          <w:rFonts w:hint="eastAsia"/>
          <w:color w:val="231F20"/>
          <w:sz w:val="32"/>
          <w:szCs w:val="24"/>
        </w:rPr>
        <w:t>15 分钟即可到社区卫生服务中心</w:t>
      </w:r>
      <w:r>
        <w:rPr>
          <w:rFonts w:hint="eastAsia"/>
          <w:color w:val="231F20"/>
          <w:spacing w:val="11"/>
          <w:sz w:val="32"/>
          <w:szCs w:val="24"/>
        </w:rPr>
        <w:t>（</w:t>
      </w:r>
      <w:r>
        <w:rPr>
          <w:rFonts w:hint="eastAsia"/>
          <w:color w:val="231F20"/>
          <w:spacing w:val="5"/>
          <w:sz w:val="32"/>
          <w:szCs w:val="24"/>
        </w:rPr>
        <w:t>站</w:t>
      </w:r>
      <w:r>
        <w:rPr>
          <w:rFonts w:hint="eastAsia"/>
          <w:color w:val="231F20"/>
          <w:spacing w:val="11"/>
          <w:sz w:val="32"/>
          <w:szCs w:val="24"/>
        </w:rPr>
        <w:t>）</w:t>
      </w:r>
      <w:r>
        <w:rPr>
          <w:rFonts w:hint="eastAsia"/>
          <w:color w:val="231F20"/>
          <w:spacing w:val="3"/>
          <w:sz w:val="32"/>
          <w:szCs w:val="24"/>
        </w:rPr>
        <w:t>就诊。</w:t>
      </w:r>
      <w:r>
        <w:rPr>
          <w:rFonts w:hint="eastAsia"/>
          <w:color w:val="231F20"/>
          <w:spacing w:val="-3"/>
          <w:sz w:val="32"/>
          <w:szCs w:val="24"/>
        </w:rPr>
        <w:t xml:space="preserve">基层医疗机构病床按照服务人口 </w:t>
      </w:r>
      <w:r>
        <w:rPr>
          <w:rFonts w:hint="eastAsia"/>
          <w:color w:val="231F20"/>
          <w:sz w:val="32"/>
          <w:szCs w:val="24"/>
        </w:rPr>
        <w:t>1.0-1.5</w:t>
      </w:r>
      <w:r>
        <w:rPr>
          <w:rFonts w:hint="eastAsia"/>
          <w:color w:val="231F20"/>
          <w:spacing w:val="-53"/>
          <w:sz w:val="32"/>
          <w:szCs w:val="24"/>
        </w:rPr>
        <w:t xml:space="preserve"> 张 </w:t>
      </w:r>
      <w:r>
        <w:rPr>
          <w:rFonts w:hint="eastAsia"/>
          <w:color w:val="231F20"/>
          <w:sz w:val="32"/>
          <w:szCs w:val="24"/>
        </w:rPr>
        <w:t>/</w:t>
      </w:r>
      <w:r>
        <w:rPr>
          <w:rFonts w:hint="eastAsia"/>
          <w:color w:val="231F20"/>
          <w:spacing w:val="-8"/>
          <w:sz w:val="32"/>
          <w:szCs w:val="24"/>
        </w:rPr>
        <w:t xml:space="preserve"> 千人配置，全科</w:t>
      </w:r>
      <w:r>
        <w:rPr>
          <w:rFonts w:hint="eastAsia"/>
          <w:color w:val="231F20"/>
          <w:spacing w:val="-16"/>
          <w:sz w:val="32"/>
          <w:szCs w:val="24"/>
        </w:rPr>
        <w:t xml:space="preserve">医师数按照每万人口 </w:t>
      </w:r>
      <w:r>
        <w:rPr>
          <w:rFonts w:hint="eastAsia"/>
          <w:color w:val="231F20"/>
          <w:sz w:val="32"/>
          <w:szCs w:val="24"/>
        </w:rPr>
        <w:t>3.5</w:t>
      </w:r>
      <w:r>
        <w:rPr>
          <w:rFonts w:hint="eastAsia"/>
          <w:color w:val="231F20"/>
          <w:spacing w:val="-7"/>
          <w:sz w:val="32"/>
          <w:szCs w:val="24"/>
        </w:rPr>
        <w:t xml:space="preserve"> 人配备，公共卫生医师数按照每千常</w:t>
      </w:r>
    </w:p>
    <w:p>
      <w:pPr>
        <w:pStyle w:val="3"/>
        <w:kinsoku w:val="0"/>
        <w:overflowPunct w:val="0"/>
        <w:spacing w:line="328" w:lineRule="auto"/>
        <w:ind w:right="265"/>
        <w:jc w:val="both"/>
        <w:rPr>
          <w:rFonts w:hint="eastAsia"/>
          <w:color w:val="231F20"/>
          <w:spacing w:val="1"/>
          <w:sz w:val="32"/>
          <w:szCs w:val="24"/>
        </w:rPr>
      </w:pPr>
      <w:r>
        <w:rPr>
          <w:rFonts w:hint="eastAsia"/>
          <w:color w:val="231F20"/>
          <w:spacing w:val="-19"/>
          <w:sz w:val="32"/>
          <w:szCs w:val="24"/>
        </w:rPr>
        <w:t xml:space="preserve">住人口 </w:t>
      </w:r>
      <w:r>
        <w:rPr>
          <w:rFonts w:hint="eastAsia"/>
          <w:color w:val="231F20"/>
          <w:sz w:val="32"/>
          <w:szCs w:val="24"/>
        </w:rPr>
        <w:t>0.9</w:t>
      </w:r>
      <w:r>
        <w:rPr>
          <w:rFonts w:hint="eastAsia"/>
          <w:color w:val="231F20"/>
          <w:spacing w:val="-6"/>
          <w:sz w:val="32"/>
          <w:szCs w:val="24"/>
        </w:rPr>
        <w:t xml:space="preserve"> 人配备；配备妇幼保健与计划生育技术指导、康复</w:t>
      </w:r>
      <w:r>
        <w:rPr>
          <w:rFonts w:hint="eastAsia"/>
          <w:color w:val="231F20"/>
          <w:spacing w:val="1"/>
          <w:sz w:val="32"/>
          <w:szCs w:val="24"/>
        </w:rPr>
        <w:t>与老年保健、慢病管理等专业技术人员。原则上每个社区卫生</w:t>
      </w:r>
      <w:r>
        <w:rPr>
          <w:rFonts w:hint="eastAsia"/>
          <w:color w:val="231F20"/>
          <w:spacing w:val="-5"/>
          <w:sz w:val="32"/>
          <w:szCs w:val="24"/>
        </w:rPr>
        <w:t xml:space="preserve">服务中心至少有 </w:t>
      </w:r>
      <w:r>
        <w:rPr>
          <w:rFonts w:hint="eastAsia"/>
          <w:color w:val="231F20"/>
          <w:sz w:val="32"/>
          <w:szCs w:val="24"/>
        </w:rPr>
        <w:t>6</w:t>
      </w:r>
      <w:r>
        <w:rPr>
          <w:rFonts w:hint="eastAsia"/>
          <w:color w:val="231F20"/>
          <w:spacing w:val="-3"/>
          <w:sz w:val="32"/>
          <w:szCs w:val="24"/>
        </w:rPr>
        <w:t xml:space="preserve"> 名全科医学专业医师、</w:t>
      </w:r>
      <w:r>
        <w:rPr>
          <w:rFonts w:hint="eastAsia"/>
          <w:color w:val="231F20"/>
          <w:sz w:val="32"/>
          <w:szCs w:val="24"/>
        </w:rPr>
        <w:t>9</w:t>
      </w:r>
      <w:r>
        <w:rPr>
          <w:rFonts w:hint="eastAsia"/>
          <w:color w:val="231F20"/>
          <w:spacing w:val="-6"/>
          <w:sz w:val="32"/>
          <w:szCs w:val="24"/>
        </w:rPr>
        <w:t xml:space="preserve"> 名注册护士。在农</w:t>
      </w:r>
      <w:r>
        <w:rPr>
          <w:rFonts w:hint="eastAsia"/>
          <w:color w:val="231F20"/>
          <w:spacing w:val="2"/>
          <w:sz w:val="32"/>
          <w:szCs w:val="24"/>
        </w:rPr>
        <w:t>村地区实现标准化村卫生室建设全覆盖。在小横路社区卫生服</w:t>
      </w:r>
      <w:r>
        <w:rPr>
          <w:rFonts w:hint="eastAsia"/>
          <w:color w:val="231F20"/>
          <w:spacing w:val="1"/>
          <w:sz w:val="32"/>
          <w:szCs w:val="24"/>
        </w:rPr>
        <w:t>务中心建立健康管理中心，建立形成健康管理中心全程参与患</w:t>
      </w:r>
    </w:p>
    <w:p>
      <w:pPr>
        <w:pStyle w:val="3"/>
        <w:kinsoku w:val="0"/>
        <w:overflowPunct w:val="0"/>
        <w:spacing w:line="328" w:lineRule="auto"/>
        <w:ind w:right="265"/>
        <w:jc w:val="both"/>
        <w:rPr>
          <w:rFonts w:hint="eastAsia"/>
          <w:color w:val="231F20"/>
          <w:spacing w:val="1"/>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rPr>
          <w:rFonts w:hint="eastAsia"/>
          <w:color w:val="231F20"/>
          <w:spacing w:val="-8"/>
          <w:sz w:val="32"/>
          <w:szCs w:val="24"/>
        </w:rPr>
      </w:pPr>
      <w:r>
        <w:rPr>
          <w:rFonts w:hint="eastAsia"/>
          <w:color w:val="231F20"/>
          <w:sz w:val="32"/>
          <w:szCs w:val="24"/>
        </w:rPr>
        <w:t>者疾病筛查、门诊救治、随访干预、个体化健康教育等医防融</w:t>
      </w:r>
      <w:r>
        <w:rPr>
          <w:rFonts w:hint="eastAsia"/>
          <w:color w:val="231F20"/>
          <w:spacing w:val="-8"/>
          <w:sz w:val="32"/>
          <w:szCs w:val="24"/>
        </w:rPr>
        <w:t>合服务模式，培养一批能治病、懂预防、会宣讲的复合型专家。</w:t>
      </w:r>
    </w:p>
    <w:p>
      <w:pPr>
        <w:pStyle w:val="3"/>
        <w:kinsoku w:val="0"/>
        <w:overflowPunct w:val="0"/>
        <w:spacing w:line="328" w:lineRule="auto"/>
        <w:ind w:right="115" w:firstLine="680"/>
        <w:rPr>
          <w:rFonts w:hint="eastAsia"/>
          <w:color w:val="231F20"/>
          <w:sz w:val="32"/>
          <w:szCs w:val="24"/>
        </w:rPr>
      </w:pPr>
      <w:r>
        <w:rPr>
          <w:rFonts w:hint="default" w:ascii="楷体_GB2312" w:hAnsi="楷体_GB2312" w:eastAsia="楷体_GB2312"/>
          <w:color w:val="231F20"/>
          <w:sz w:val="32"/>
          <w:szCs w:val="24"/>
        </w:rPr>
        <w:t>（七</w:t>
      </w:r>
      <w:r>
        <w:rPr>
          <w:rFonts w:hint="default" w:ascii="楷体_GB2312" w:hAnsi="楷体_GB2312" w:eastAsia="楷体_GB2312"/>
          <w:color w:val="231F20"/>
          <w:spacing w:val="-32"/>
          <w:sz w:val="32"/>
          <w:szCs w:val="24"/>
        </w:rPr>
        <w:t>）</w:t>
      </w:r>
      <w:r>
        <w:rPr>
          <w:rFonts w:hint="default" w:ascii="楷体_GB2312" w:hAnsi="楷体_GB2312" w:eastAsia="楷体_GB2312"/>
          <w:color w:val="231F20"/>
          <w:spacing w:val="-3"/>
          <w:sz w:val="32"/>
          <w:szCs w:val="24"/>
        </w:rPr>
        <w:t>强化卫生健康信息支撑。</w:t>
      </w:r>
      <w:r>
        <w:rPr>
          <w:rFonts w:hint="eastAsia"/>
          <w:color w:val="231F20"/>
          <w:spacing w:val="-19"/>
          <w:sz w:val="32"/>
          <w:szCs w:val="24"/>
        </w:rPr>
        <w:t xml:space="preserve">加快“互联网 + 医疗健康” </w:t>
      </w:r>
      <w:r>
        <w:rPr>
          <w:rFonts w:hint="eastAsia"/>
          <w:color w:val="231F20"/>
          <w:sz w:val="32"/>
          <w:szCs w:val="24"/>
        </w:rPr>
        <w:t>建设，发挥人工智能、大数据、云计算、5G</w:t>
      </w:r>
      <w:r>
        <w:rPr>
          <w:rFonts w:hint="eastAsia"/>
          <w:color w:val="231F20"/>
          <w:spacing w:val="-11"/>
          <w:sz w:val="32"/>
          <w:szCs w:val="24"/>
        </w:rPr>
        <w:t xml:space="preserve"> 等技术在医疗领域</w:t>
      </w:r>
      <w:r>
        <w:rPr>
          <w:rFonts w:hint="eastAsia"/>
          <w:color w:val="231F20"/>
          <w:sz w:val="32"/>
          <w:szCs w:val="24"/>
        </w:rPr>
        <w:t>的提质增效作用，提升信息网络、互联网医院、远程会诊、可穿戴设备使用等服务质量和能力，推进电子病历、化验检查、药品处方、健康档案等信息集成与共享，在传染病疫情监测、</w:t>
      </w:r>
      <w:r>
        <w:rPr>
          <w:rFonts w:hint="eastAsia"/>
          <w:color w:val="231F20"/>
          <w:spacing w:val="1"/>
          <w:sz w:val="32"/>
          <w:szCs w:val="24"/>
        </w:rPr>
        <w:t>高风险者管理、密切接触者管理等方面发挥数据支撑作用，建</w:t>
      </w:r>
      <w:r>
        <w:rPr>
          <w:rFonts w:hint="eastAsia"/>
          <w:color w:val="231F20"/>
          <w:sz w:val="32"/>
          <w:szCs w:val="24"/>
        </w:rPr>
        <w:t>立医联体内部远程医疗业务平台，建立区域远程影像、远程心电、远程病理、远程超声、检查检验、远程会诊等系统，完成</w:t>
      </w:r>
      <w:r>
        <w:rPr>
          <w:rFonts w:hint="eastAsia"/>
          <w:color w:val="231F20"/>
          <w:spacing w:val="1"/>
          <w:sz w:val="32"/>
          <w:szCs w:val="24"/>
        </w:rPr>
        <w:t>“一心”</w:t>
      </w:r>
      <w:r>
        <w:rPr>
          <w:rFonts w:hint="eastAsia"/>
          <w:color w:val="231F20"/>
          <w:sz w:val="32"/>
          <w:szCs w:val="24"/>
        </w:rPr>
        <w:t>（</w:t>
      </w:r>
      <w:r>
        <w:rPr>
          <w:rFonts w:hint="eastAsia"/>
          <w:color w:val="231F20"/>
          <w:spacing w:val="3"/>
          <w:sz w:val="32"/>
          <w:szCs w:val="24"/>
        </w:rPr>
        <w:t>新区全民健康信息平台</w:t>
      </w:r>
      <w:r>
        <w:rPr>
          <w:rFonts w:hint="eastAsia"/>
          <w:color w:val="231F20"/>
          <w:sz w:val="32"/>
          <w:szCs w:val="24"/>
        </w:rPr>
        <w:t>）、“两线”（</w:t>
      </w:r>
      <w:r>
        <w:rPr>
          <w:rFonts w:hint="eastAsia"/>
          <w:color w:val="231F20"/>
          <w:spacing w:val="4"/>
          <w:sz w:val="32"/>
          <w:szCs w:val="24"/>
        </w:rPr>
        <w:t>面向健康的</w:t>
      </w:r>
      <w:r>
        <w:rPr>
          <w:rFonts w:hint="eastAsia"/>
          <w:color w:val="231F20"/>
          <w:spacing w:val="2"/>
          <w:sz w:val="32"/>
          <w:szCs w:val="24"/>
        </w:rPr>
        <w:t>全生命周期线、面向数据的全生命周期线</w:t>
      </w:r>
      <w:r>
        <w:rPr>
          <w:rFonts w:hint="eastAsia"/>
          <w:color w:val="231F20"/>
          <w:sz w:val="32"/>
          <w:szCs w:val="24"/>
        </w:rPr>
        <w:t>）、“三态”（</w:t>
      </w:r>
      <w:r>
        <w:rPr>
          <w:rFonts w:hint="eastAsia"/>
          <w:color w:val="231F20"/>
          <w:spacing w:val="2"/>
          <w:sz w:val="32"/>
          <w:szCs w:val="24"/>
        </w:rPr>
        <w:t>新医</w:t>
      </w:r>
      <w:r>
        <w:rPr>
          <w:rFonts w:hint="eastAsia"/>
          <w:color w:val="231F20"/>
          <w:spacing w:val="-7"/>
          <w:sz w:val="32"/>
          <w:szCs w:val="24"/>
        </w:rPr>
        <w:t>疗管理态、新医疗服务态、新医疗数据态</w:t>
      </w:r>
      <w:r>
        <w:rPr>
          <w:rFonts w:hint="eastAsia"/>
          <w:color w:val="231F20"/>
          <w:spacing w:val="-29"/>
          <w:sz w:val="32"/>
          <w:szCs w:val="24"/>
        </w:rPr>
        <w:t>）</w:t>
      </w:r>
      <w:r>
        <w:rPr>
          <w:rFonts w:hint="eastAsia"/>
          <w:color w:val="231F20"/>
          <w:spacing w:val="-15"/>
          <w:sz w:val="32"/>
          <w:szCs w:val="24"/>
        </w:rPr>
        <w:t>、“四体系”</w:t>
      </w:r>
      <w:r>
        <w:rPr>
          <w:rFonts w:hint="eastAsia"/>
          <w:color w:val="231F20"/>
          <w:spacing w:val="-29"/>
          <w:sz w:val="32"/>
          <w:szCs w:val="24"/>
        </w:rPr>
        <w:t>（</w:t>
      </w:r>
      <w:r>
        <w:rPr>
          <w:rFonts w:hint="eastAsia"/>
          <w:color w:val="231F20"/>
          <w:spacing w:val="-15"/>
          <w:sz w:val="32"/>
          <w:szCs w:val="24"/>
        </w:rPr>
        <w:t>“互</w:t>
      </w:r>
      <w:r>
        <w:rPr>
          <w:rFonts w:hint="eastAsia"/>
          <w:color w:val="231F20"/>
          <w:spacing w:val="-27"/>
          <w:sz w:val="32"/>
          <w:szCs w:val="24"/>
        </w:rPr>
        <w:t>联网+ 监管”“互联网 + 医疗”“互联网 + 公共卫生服务”“互</w:t>
      </w:r>
      <w:r>
        <w:rPr>
          <w:rFonts w:hint="eastAsia"/>
          <w:color w:val="231F20"/>
          <w:spacing w:val="-11"/>
          <w:sz w:val="32"/>
          <w:szCs w:val="24"/>
        </w:rPr>
        <w:t>联网 + 人工智能”</w:t>
      </w:r>
      <w:r>
        <w:rPr>
          <w:rFonts w:hint="eastAsia"/>
          <w:color w:val="231F20"/>
          <w:spacing w:val="6"/>
          <w:sz w:val="32"/>
          <w:szCs w:val="24"/>
        </w:rPr>
        <w:t>）</w:t>
      </w:r>
      <w:r>
        <w:rPr>
          <w:rFonts w:hint="eastAsia"/>
          <w:color w:val="231F20"/>
          <w:spacing w:val="-2"/>
          <w:sz w:val="32"/>
          <w:szCs w:val="24"/>
        </w:rPr>
        <w:t xml:space="preserve">智慧医疗框架。到 </w:t>
      </w:r>
      <w:r>
        <w:rPr>
          <w:rFonts w:hint="eastAsia"/>
          <w:color w:val="231F20"/>
          <w:sz w:val="32"/>
          <w:szCs w:val="24"/>
        </w:rPr>
        <w:t>2025 年新区所有公立</w:t>
      </w:r>
      <w:r>
        <w:rPr>
          <w:rFonts w:hint="eastAsia"/>
          <w:color w:val="231F20"/>
          <w:spacing w:val="7"/>
          <w:sz w:val="32"/>
          <w:szCs w:val="24"/>
        </w:rPr>
        <w:t xml:space="preserve">医院和社区卫生服务中心全部完成 </w:t>
      </w:r>
      <w:r>
        <w:rPr>
          <w:rFonts w:hint="eastAsia"/>
          <w:color w:val="231F20"/>
          <w:sz w:val="32"/>
          <w:szCs w:val="24"/>
        </w:rPr>
        <w:t>HIS、LIS、PACS</w:t>
      </w:r>
      <w:r>
        <w:rPr>
          <w:rFonts w:hint="eastAsia"/>
          <w:color w:val="231F20"/>
          <w:spacing w:val="-6"/>
          <w:sz w:val="32"/>
          <w:szCs w:val="24"/>
        </w:rPr>
        <w:t xml:space="preserve"> 和电子病</w:t>
      </w:r>
      <w:r>
        <w:rPr>
          <w:rFonts w:hint="eastAsia"/>
          <w:color w:val="231F20"/>
          <w:sz w:val="32"/>
          <w:szCs w:val="24"/>
        </w:rPr>
        <w:t>历系统建设并有效运用，互通共享。</w:t>
      </w:r>
    </w:p>
    <w:p>
      <w:pPr>
        <w:pStyle w:val="3"/>
        <w:kinsoku w:val="0"/>
        <w:overflowPunct w:val="0"/>
        <w:spacing w:line="384" w:lineRule="exact"/>
        <w:ind w:left="957"/>
        <w:rPr>
          <w:rFonts w:hint="eastAsia"/>
          <w:color w:val="231F20"/>
          <w:sz w:val="32"/>
          <w:szCs w:val="24"/>
        </w:rPr>
      </w:pPr>
      <w:r>
        <w:rPr>
          <w:rFonts w:hint="default" w:ascii="楷体_GB2312" w:hAnsi="楷体_GB2312" w:eastAsia="楷体_GB2312"/>
          <w:color w:val="231F20"/>
          <w:sz w:val="32"/>
          <w:szCs w:val="24"/>
        </w:rPr>
        <w:t>（八）完善院前医疗急救服务。</w:t>
      </w:r>
      <w:r>
        <w:rPr>
          <w:rFonts w:hint="eastAsia"/>
          <w:color w:val="231F20"/>
          <w:sz w:val="32"/>
          <w:szCs w:val="24"/>
        </w:rPr>
        <w:t>加大对院前急救事业的投</w:t>
      </w:r>
    </w:p>
    <w:p>
      <w:pPr>
        <w:pStyle w:val="3"/>
        <w:kinsoku w:val="0"/>
        <w:overflowPunct w:val="0"/>
        <w:spacing w:before="146" w:line="328" w:lineRule="auto"/>
        <w:ind w:right="270"/>
        <w:jc w:val="both"/>
        <w:rPr>
          <w:rFonts w:hint="eastAsia"/>
          <w:color w:val="231F20"/>
          <w:sz w:val="32"/>
          <w:szCs w:val="24"/>
        </w:rPr>
      </w:pPr>
      <w:r>
        <w:rPr>
          <w:rFonts w:hint="eastAsia"/>
          <w:color w:val="231F20"/>
          <w:spacing w:val="1"/>
          <w:sz w:val="32"/>
          <w:szCs w:val="24"/>
        </w:rPr>
        <w:t>入和保障力度，合理配置急救资源，加快兰州新区独立型或依</w:t>
      </w:r>
      <w:r>
        <w:rPr>
          <w:rFonts w:hint="eastAsia"/>
          <w:color w:val="231F20"/>
          <w:sz w:val="32"/>
          <w:szCs w:val="24"/>
        </w:rPr>
        <w:t>托型紧急医疗救援中心及急救分站建设，在各园区属地内，依托二级以上医院、有条件的社区卫生服务中心及乡镇卫生院设置急救分站。促进城乡院前医疗急救体系一体化发展和区域平衡，实现城乡院前医疗急救服务网络全覆盖，全面提升院前急救服务能力和技术水平。加强院前医疗急救基础设施、车辆装</w:t>
      </w:r>
    </w:p>
    <w:p>
      <w:pPr>
        <w:pStyle w:val="3"/>
        <w:kinsoku w:val="0"/>
        <w:overflowPunct w:val="0"/>
        <w:spacing w:before="146" w:line="328" w:lineRule="auto"/>
        <w:ind w:right="27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70"/>
        <w:jc w:val="both"/>
        <w:rPr>
          <w:rFonts w:hint="eastAsia"/>
          <w:color w:val="231F20"/>
          <w:sz w:val="32"/>
          <w:szCs w:val="24"/>
        </w:rPr>
      </w:pPr>
      <w:r>
        <w:rPr>
          <w:rFonts w:hint="eastAsia"/>
          <w:color w:val="231F20"/>
          <w:sz w:val="32"/>
          <w:szCs w:val="24"/>
        </w:rPr>
        <w:t>备、配套设备等硬件建设，提升信息化建设水平，全面实现院前医疗机构标准化建设、规范化管理、专业化服务的目标。围绕院前急救专业人才队伍建设突出问题，从人才培养、职业发展、薪酬待遇、人员转归等方面统筹谋划，创新急救人才管理机制，完善配套政策，破除体制机制障碍，促进院前医疗急救事业健康、可持续发展。</w:t>
      </w:r>
    </w:p>
    <w:p>
      <w:pPr>
        <w:pStyle w:val="3"/>
        <w:kinsoku w:val="0"/>
        <w:overflowPunct w:val="0"/>
        <w:spacing w:line="328" w:lineRule="auto"/>
        <w:ind w:right="115" w:firstLine="680"/>
        <w:rPr>
          <w:rFonts w:hint="eastAsia"/>
          <w:color w:val="231F20"/>
          <w:spacing w:val="-23"/>
          <w:sz w:val="32"/>
          <w:szCs w:val="24"/>
        </w:rPr>
      </w:pPr>
      <w:r>
        <w:rPr>
          <w:rFonts w:hint="default"/>
          <w:color w:val="231F20"/>
          <w:sz w:val="32"/>
          <w:szCs w:val="24"/>
        </w:rPr>
        <mc:AlternateContent>
          <mc:Choice Requires="wpg">
            <w:drawing>
              <wp:anchor distT="0" distB="0" distL="0" distR="0" simplePos="0" relativeHeight="251659264" behindDoc="0" locked="0" layoutInCell="1" allowOverlap="1">
                <wp:simplePos x="0" y="0"/>
                <wp:positionH relativeFrom="page">
                  <wp:posOffset>1115695</wp:posOffset>
                </wp:positionH>
                <wp:positionV relativeFrom="paragraph">
                  <wp:posOffset>1506855</wp:posOffset>
                </wp:positionV>
                <wp:extent cx="5608955" cy="3606165"/>
                <wp:effectExtent l="0" t="0" r="1270" b="0"/>
                <wp:wrapTopAndBottom/>
                <wp:docPr id="7" name="组合 3"/>
                <wp:cNvGraphicFramePr/>
                <a:graphic xmlns:a="http://schemas.openxmlformats.org/drawingml/2006/main">
                  <a:graphicData uri="http://schemas.microsoft.com/office/word/2010/wordprocessingGroup">
                    <wpg:wgp>
                      <wpg:cNvGrpSpPr/>
                      <wpg:grpSpPr>
                        <a:xfrm>
                          <a:off x="0" y="0"/>
                          <a:ext cx="5608955" cy="3606165"/>
                          <a:chOff x="1757" y="2373"/>
                          <a:chExt cx="8833" cy="5685"/>
                        </a:xfrm>
                      </wpg:grpSpPr>
                      <wps:wsp>
                        <wps:cNvPr id="2" name="任意多边形 4"/>
                        <wps:cNvSpPr/>
                        <wps:spPr>
                          <a:xfrm>
                            <a:off x="1757" y="2386"/>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3" name="任意多边形 5"/>
                        <wps:cNvSpPr/>
                        <wps:spPr>
                          <a:xfrm>
                            <a:off x="1770" y="2399"/>
                            <a:ext cx="20" cy="5627"/>
                          </a:xfrm>
                          <a:custGeom>
                            <a:avLst/>
                            <a:gdLst/>
                            <a:ahLst/>
                            <a:cxnLst/>
                            <a:pathLst>
                              <a:path w="20" h="5627">
                                <a:moveTo>
                                  <a:pt x="0" y="5626"/>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4" name="任意多边形 6"/>
                        <wps:cNvSpPr/>
                        <wps:spPr>
                          <a:xfrm>
                            <a:off x="10487" y="2399"/>
                            <a:ext cx="20" cy="5627"/>
                          </a:xfrm>
                          <a:custGeom>
                            <a:avLst/>
                            <a:gdLst/>
                            <a:ahLst/>
                            <a:cxnLst/>
                            <a:pathLst>
                              <a:path w="20" h="5627">
                                <a:moveTo>
                                  <a:pt x="0" y="5626"/>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5" name="任意多边形 7"/>
                        <wps:cNvSpPr/>
                        <wps:spPr>
                          <a:xfrm>
                            <a:off x="1757" y="8038"/>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6" name="文本框 8"/>
                        <wps:cNvSpPr txBox="true"/>
                        <wps:spPr>
                          <a:xfrm>
                            <a:off x="1757" y="2373"/>
                            <a:ext cx="8833" cy="5679"/>
                          </a:xfrm>
                          <a:prstGeom prst="rect">
                            <a:avLst/>
                          </a:prstGeom>
                          <a:noFill/>
                          <a:ln>
                            <a:noFill/>
                          </a:ln>
                        </wps:spPr>
                        <wps:txbx>
                          <w:txbxContent>
                            <w:p>
                              <w:pPr>
                                <w:pStyle w:val="3"/>
                                <w:kinsoku w:val="0"/>
                                <w:overflowPunct w:val="0"/>
                                <w:spacing w:before="72"/>
                                <w:ind w:left="1819"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2：医疗卫生机构建设项目</w:t>
                              </w:r>
                            </w:p>
                            <w:p>
                              <w:pPr>
                                <w:pStyle w:val="3"/>
                                <w:numPr>
                                  <w:ilvl w:val="0"/>
                                  <w:numId w:val="2"/>
                                </w:numPr>
                                <w:tabs>
                                  <w:tab w:val="left" w:pos="1152"/>
                                </w:tabs>
                                <w:kinsoku w:val="0"/>
                                <w:overflowPunct w:val="0"/>
                                <w:spacing w:before="97" w:line="328" w:lineRule="auto"/>
                                <w:ind w:left="69" w:firstLine="680"/>
                                <w:rPr>
                                  <w:rFonts w:hint="eastAsia"/>
                                  <w:color w:val="231F20"/>
                                  <w:sz w:val="32"/>
                                  <w:szCs w:val="24"/>
                                </w:rPr>
                              </w:pPr>
                              <w:r>
                                <w:rPr>
                                  <w:rFonts w:hint="eastAsia"/>
                                  <w:color w:val="231F20"/>
                                  <w:spacing w:val="6"/>
                                  <w:sz w:val="32"/>
                                  <w:szCs w:val="24"/>
                                </w:rPr>
                                <w:t>省人民医院新区分院及重大疫情救治基地、老年康复</w:t>
                              </w:r>
                              <w:r>
                                <w:rPr>
                                  <w:rFonts w:hint="eastAsia"/>
                                  <w:color w:val="231F20"/>
                                  <w:spacing w:val="5"/>
                                  <w:sz w:val="32"/>
                                  <w:szCs w:val="24"/>
                                </w:rPr>
                                <w:t xml:space="preserve">养护区，省残联康复中心医院，省疾控中心公共卫生中心， </w:t>
                              </w:r>
                              <w:r>
                                <w:rPr>
                                  <w:rFonts w:hint="eastAsia"/>
                                  <w:color w:val="231F20"/>
                                  <w:spacing w:val="10"/>
                                  <w:sz w:val="32"/>
                                  <w:szCs w:val="24"/>
                                </w:rPr>
                                <w:t>兰州新区疾病预防控制中心、省级集中医学隔离观察点和医</w:t>
                              </w:r>
                              <w:r>
                                <w:rPr>
                                  <w:rFonts w:hint="eastAsia"/>
                                  <w:color w:val="231F20"/>
                                  <w:spacing w:val="-10"/>
                                  <w:sz w:val="32"/>
                                  <w:szCs w:val="24"/>
                                </w:rPr>
                                <w:t>疗应急物资储备库，医疗综合体</w:t>
                              </w:r>
                              <w:r>
                                <w:rPr>
                                  <w:rFonts w:hint="eastAsia"/>
                                  <w:color w:val="231F20"/>
                                  <w:sz w:val="32"/>
                                  <w:szCs w:val="24"/>
                                </w:rPr>
                                <w:t>（含中心血站</w:t>
                              </w:r>
                              <w:r>
                                <w:rPr>
                                  <w:rFonts w:hint="eastAsia"/>
                                  <w:color w:val="231F20"/>
                                  <w:spacing w:val="-50"/>
                                  <w:sz w:val="32"/>
                                  <w:szCs w:val="24"/>
                                </w:rPr>
                                <w:t>），</w:t>
                              </w:r>
                              <w:r>
                                <w:rPr>
                                  <w:rFonts w:hint="eastAsia"/>
                                  <w:color w:val="231F20"/>
                                  <w:spacing w:val="-3"/>
                                  <w:sz w:val="32"/>
                                  <w:szCs w:val="24"/>
                                </w:rPr>
                                <w:t xml:space="preserve">妇幼保健院， </w:t>
                              </w:r>
                              <w:r>
                                <w:rPr>
                                  <w:rFonts w:hint="eastAsia"/>
                                  <w:color w:val="231F20"/>
                                  <w:spacing w:val="-22"/>
                                  <w:sz w:val="32"/>
                                  <w:szCs w:val="24"/>
                                </w:rPr>
                                <w:t>中医院，西岔人民医院，精神卫生中心</w:t>
                              </w:r>
                              <w:r>
                                <w:rPr>
                                  <w:rFonts w:hint="eastAsia"/>
                                  <w:color w:val="231F20"/>
                                  <w:sz w:val="32"/>
                                  <w:szCs w:val="24"/>
                                </w:rPr>
                                <w:t>（专科医院</w:t>
                              </w:r>
                              <w:r>
                                <w:rPr>
                                  <w:rFonts w:hint="eastAsia"/>
                                  <w:color w:val="231F20"/>
                                  <w:spacing w:val="-104"/>
                                  <w:sz w:val="32"/>
                                  <w:szCs w:val="24"/>
                                </w:rPr>
                                <w:t>），</w:t>
                              </w:r>
                              <w:r>
                                <w:rPr>
                                  <w:rFonts w:hint="eastAsia"/>
                                  <w:color w:val="231F20"/>
                                  <w:spacing w:val="-4"/>
                                  <w:sz w:val="32"/>
                                  <w:szCs w:val="24"/>
                                </w:rPr>
                                <w:t xml:space="preserve">社区医院， </w:t>
                              </w:r>
                              <w:r>
                                <w:rPr>
                                  <w:rFonts w:hint="eastAsia"/>
                                  <w:color w:val="231F20"/>
                                  <w:sz w:val="32"/>
                                  <w:szCs w:val="24"/>
                                </w:rPr>
                                <w:t>社区卫生服务中心（站），急救分站建设。</w:t>
                              </w:r>
                            </w:p>
                            <w:p>
                              <w:pPr>
                                <w:pStyle w:val="3"/>
                                <w:numPr>
                                  <w:ilvl w:val="0"/>
                                  <w:numId w:val="2"/>
                                </w:numPr>
                                <w:tabs>
                                  <w:tab w:val="left" w:pos="1150"/>
                                </w:tabs>
                                <w:kinsoku w:val="0"/>
                                <w:overflowPunct w:val="0"/>
                                <w:spacing w:line="400" w:lineRule="exact"/>
                                <w:ind w:left="1150" w:hanging="400"/>
                                <w:rPr>
                                  <w:rFonts w:hint="eastAsia"/>
                                  <w:color w:val="231F20"/>
                                  <w:sz w:val="32"/>
                                  <w:szCs w:val="24"/>
                                </w:rPr>
                              </w:pPr>
                              <w:r>
                                <w:rPr>
                                  <w:rFonts w:hint="eastAsia"/>
                                  <w:color w:val="231F20"/>
                                  <w:sz w:val="32"/>
                                  <w:szCs w:val="24"/>
                                </w:rPr>
                                <w:t>全民健康信息平台、互联网医院监管平台建设。</w:t>
                              </w:r>
                            </w:p>
                            <w:p>
                              <w:pPr>
                                <w:pStyle w:val="3"/>
                                <w:numPr>
                                  <w:ilvl w:val="0"/>
                                  <w:numId w:val="2"/>
                                </w:numPr>
                                <w:tabs>
                                  <w:tab w:val="left" w:pos="1153"/>
                                </w:tabs>
                                <w:kinsoku w:val="0"/>
                                <w:overflowPunct w:val="0"/>
                                <w:spacing w:line="560" w:lineRule="atLeast"/>
                                <w:ind w:left="69" w:right="148" w:firstLine="680"/>
                                <w:rPr>
                                  <w:rFonts w:hint="eastAsia"/>
                                  <w:color w:val="231F20"/>
                                  <w:sz w:val="32"/>
                                  <w:szCs w:val="24"/>
                                </w:rPr>
                              </w:pPr>
                              <w:r>
                                <w:rPr>
                                  <w:rFonts w:hint="eastAsia"/>
                                  <w:color w:val="231F20"/>
                                  <w:spacing w:val="2"/>
                                  <w:sz w:val="32"/>
                                  <w:szCs w:val="24"/>
                                </w:rPr>
                                <w:t>按照“非禁即入”原则，支持社会力量通过市场化运</w:t>
                              </w:r>
                              <w:r>
                                <w:rPr>
                                  <w:rFonts w:hint="eastAsia"/>
                                  <w:color w:val="231F20"/>
                                  <w:sz w:val="32"/>
                                  <w:szCs w:val="24"/>
                                </w:rPr>
                                <w:t>作方式举办医疗及医养结合机构。</w:t>
                              </w:r>
                            </w:p>
                          </w:txbxContent>
                        </wps:txbx>
                        <wps:bodyPr vert="horz" wrap="square" lIns="0" tIns="0" rIns="0" bIns="0" upright="true"/>
                      </wps:wsp>
                    </wpg:wgp>
                  </a:graphicData>
                </a:graphic>
              </wp:anchor>
            </w:drawing>
          </mc:Choice>
          <mc:Fallback>
            <w:pict>
              <v:group id="组合 3" o:spid="_x0000_s1026" o:spt="203" style="position:absolute;left:0pt;margin-left:87.85pt;margin-top:118.65pt;height:283.95pt;width:441.65pt;mso-position-horizontal-relative:page;mso-wrap-distance-bottom:0pt;mso-wrap-distance-top:0pt;z-index:251659264;mso-width-relative:page;mso-height-relative:page;" coordorigin="1757,2373" coordsize="8833,5685" o:gfxdata="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BYAAABkcnMvUEsB&#10;AhQAFAAAAAgAh07iQEr8HIjbAAAADAEAAA8AAAAAAAAAAQAgAAAAOAAAAGRycy9kb3ducmV2Lnht&#10;bFBLAQIUABQAAAAIAIdO4kBILdBeqAMAAHsPAAAOAAAAAAAAAAEAIAAAAEABAABkcnMvZTJvRG9j&#10;LnhtbFBLBQYAAAAABgAGAFkBAABaBwAAAAA=&#10;">
                <o:lock v:ext="edit" aspectratio="f"/>
                <v:shape id="任意多边形 4" o:spid="_x0000_s1026" o:spt="100" style="position:absolute;left:1757;top:2386;height:20;width:8743;" filled="f" stroked="t" coordsize="8743,20" o:gfxdata="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M1RvLoAAADaAAAADwAAAAAAAAABACAAAAA4AAAAZHJzL2Rvd25yZXYueG1s&#10;UEsBAhQAFAAAAAgAh07iQDMvBZ47AAAAOQAAABAAAAAAAAAAAQAgAAAAHwEAAGRycy9zaGFwZXht&#10;bC54bWxQSwUGAAAAAAYABgBbAQAAyQMAAAAA&#10;" path="m0,0l8742,0e">
                  <v:fill on="f" focussize="0,0"/>
                  <v:stroke weight="1.3pt" color="#231F20" joinstyle="round"/>
                  <v:imagedata o:title=""/>
                  <o:lock v:ext="edit" aspectratio="f"/>
                </v:shape>
                <v:shape id="任意多边形 5" o:spid="_x0000_s1026" o:spt="100" style="position:absolute;left:1770;top:2399;height:5627;width:20;" filled="f" stroked="t" coordsize="20,5627" o:gfxdata="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eFsCr0AAADaAAAADwAAAAAAAAABACAAAAA4AAAAZHJzL2Rvd25yZXYu&#10;eG1sUEsBAhQAFAAAAAgAh07iQDMvBZ47AAAAOQAAABAAAAAAAAAAAQAgAAAAIgEAAGRycy9zaGFw&#10;ZXhtbC54bWxQSwUGAAAAAAYABgBbAQAAzAMAAAAA&#10;" path="m0,5626l0,0e">
                  <v:fill on="f" focussize="0,0"/>
                  <v:stroke weight="1.3pt" color="#231F20" joinstyle="round"/>
                  <v:imagedata o:title=""/>
                  <o:lock v:ext="edit" aspectratio="f"/>
                </v:shape>
                <v:shape id="任意多边形 6" o:spid="_x0000_s1026" o:spt="100" style="position:absolute;left:10487;top:2399;height:5627;width:20;" filled="f" stroked="t" coordsize="20,5627" o:gfxdata="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YI9H67AAAA2gAAAA8AAAAAAAAAAQAgAAAAOAAAAGRycy9kb3ducmV2Lnht&#10;bFBLAQIUABQAAAAIAIdO4kAzLwWeOwAAADkAAAAQAAAAAAAAAAEAIAAAACABAABkcnMvc2hhcGV4&#10;bWwueG1sUEsFBgAAAAAGAAYAWwEAAMoDAAAAAA==&#10;" path="m0,5626l0,0e">
                  <v:fill on="f" focussize="0,0"/>
                  <v:stroke weight="1.3pt" color="#231F20" joinstyle="round"/>
                  <v:imagedata o:title=""/>
                  <o:lock v:ext="edit" aspectratio="f"/>
                </v:shape>
                <v:shape id="任意多边形 7" o:spid="_x0000_s1026" o:spt="100" style="position:absolute;left:1757;top:8038;height:20;width:8743;" filled="f" stroked="t" coordsize="8743,20" o:gfxdata="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8kyci7AAAA2gAAAA8AAAAAAAAAAQAgAAAAOAAAAGRycy9kb3ducmV2Lnht&#10;bFBLAQIUABQAAAAIAIdO4kAzLwWeOwAAADkAAAAQAAAAAAAAAAEAIAAAACABAABkcnMvc2hhcGV4&#10;bWwueG1sUEsFBgAAAAAGAAYAWwEAAMoDAAAAAA==&#10;" path="m0,0l8742,0e">
                  <v:fill on="f" focussize="0,0"/>
                  <v:stroke weight="1.3pt" color="#231F20" joinstyle="round"/>
                  <v:imagedata o:title=""/>
                  <o:lock v:ext="edit" aspectratio="f"/>
                </v:shape>
                <v:shape id="文本框 8" o:spid="_x0000_s1026" o:spt="202" type="#_x0000_t202" style="position:absolute;left:1757;top:2373;height:5679;width:8833;" filled="f" stroked="f" coordsize="21600,21600" o:gfxdata="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p5bC70AAADa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pStyle w:val="3"/>
                          <w:kinsoku w:val="0"/>
                          <w:overflowPunct w:val="0"/>
                          <w:spacing w:before="72"/>
                          <w:ind w:left="1819"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2：医疗卫生机构建设项目</w:t>
                        </w:r>
                      </w:p>
                      <w:p>
                        <w:pPr>
                          <w:pStyle w:val="3"/>
                          <w:numPr>
                            <w:ilvl w:val="0"/>
                            <w:numId w:val="2"/>
                          </w:numPr>
                          <w:tabs>
                            <w:tab w:val="left" w:pos="1152"/>
                          </w:tabs>
                          <w:kinsoku w:val="0"/>
                          <w:overflowPunct w:val="0"/>
                          <w:spacing w:before="97" w:line="328" w:lineRule="auto"/>
                          <w:ind w:left="69" w:firstLine="680"/>
                          <w:rPr>
                            <w:rFonts w:hint="eastAsia"/>
                            <w:color w:val="231F20"/>
                            <w:sz w:val="32"/>
                            <w:szCs w:val="24"/>
                          </w:rPr>
                        </w:pPr>
                        <w:r>
                          <w:rPr>
                            <w:rFonts w:hint="eastAsia"/>
                            <w:color w:val="231F20"/>
                            <w:spacing w:val="6"/>
                            <w:sz w:val="32"/>
                            <w:szCs w:val="24"/>
                          </w:rPr>
                          <w:t>省人民医院新区分院及重大疫情救治基地、老年康复</w:t>
                        </w:r>
                        <w:r>
                          <w:rPr>
                            <w:rFonts w:hint="eastAsia"/>
                            <w:color w:val="231F20"/>
                            <w:spacing w:val="5"/>
                            <w:sz w:val="32"/>
                            <w:szCs w:val="24"/>
                          </w:rPr>
                          <w:t xml:space="preserve">养护区，省残联康复中心医院，省疾控中心公共卫生中心， </w:t>
                        </w:r>
                        <w:r>
                          <w:rPr>
                            <w:rFonts w:hint="eastAsia"/>
                            <w:color w:val="231F20"/>
                            <w:spacing w:val="10"/>
                            <w:sz w:val="32"/>
                            <w:szCs w:val="24"/>
                          </w:rPr>
                          <w:t>兰州新区疾病预防控制中心、省级集中医学隔离观察点和医</w:t>
                        </w:r>
                        <w:r>
                          <w:rPr>
                            <w:rFonts w:hint="eastAsia"/>
                            <w:color w:val="231F20"/>
                            <w:spacing w:val="-10"/>
                            <w:sz w:val="32"/>
                            <w:szCs w:val="24"/>
                          </w:rPr>
                          <w:t>疗应急物资储备库，医疗综合体</w:t>
                        </w:r>
                        <w:r>
                          <w:rPr>
                            <w:rFonts w:hint="eastAsia"/>
                            <w:color w:val="231F20"/>
                            <w:sz w:val="32"/>
                            <w:szCs w:val="24"/>
                          </w:rPr>
                          <w:t>（含中心血站</w:t>
                        </w:r>
                        <w:r>
                          <w:rPr>
                            <w:rFonts w:hint="eastAsia"/>
                            <w:color w:val="231F20"/>
                            <w:spacing w:val="-50"/>
                            <w:sz w:val="32"/>
                            <w:szCs w:val="24"/>
                          </w:rPr>
                          <w:t>），</w:t>
                        </w:r>
                        <w:r>
                          <w:rPr>
                            <w:rFonts w:hint="eastAsia"/>
                            <w:color w:val="231F20"/>
                            <w:spacing w:val="-3"/>
                            <w:sz w:val="32"/>
                            <w:szCs w:val="24"/>
                          </w:rPr>
                          <w:t xml:space="preserve">妇幼保健院， </w:t>
                        </w:r>
                        <w:r>
                          <w:rPr>
                            <w:rFonts w:hint="eastAsia"/>
                            <w:color w:val="231F20"/>
                            <w:spacing w:val="-22"/>
                            <w:sz w:val="32"/>
                            <w:szCs w:val="24"/>
                          </w:rPr>
                          <w:t>中医院，西岔人民医院，精神卫生中心</w:t>
                        </w:r>
                        <w:r>
                          <w:rPr>
                            <w:rFonts w:hint="eastAsia"/>
                            <w:color w:val="231F20"/>
                            <w:sz w:val="32"/>
                            <w:szCs w:val="24"/>
                          </w:rPr>
                          <w:t>（专科医院</w:t>
                        </w:r>
                        <w:r>
                          <w:rPr>
                            <w:rFonts w:hint="eastAsia"/>
                            <w:color w:val="231F20"/>
                            <w:spacing w:val="-104"/>
                            <w:sz w:val="32"/>
                            <w:szCs w:val="24"/>
                          </w:rPr>
                          <w:t>），</w:t>
                        </w:r>
                        <w:r>
                          <w:rPr>
                            <w:rFonts w:hint="eastAsia"/>
                            <w:color w:val="231F20"/>
                            <w:spacing w:val="-4"/>
                            <w:sz w:val="32"/>
                            <w:szCs w:val="24"/>
                          </w:rPr>
                          <w:t xml:space="preserve">社区医院， </w:t>
                        </w:r>
                        <w:r>
                          <w:rPr>
                            <w:rFonts w:hint="eastAsia"/>
                            <w:color w:val="231F20"/>
                            <w:sz w:val="32"/>
                            <w:szCs w:val="24"/>
                          </w:rPr>
                          <w:t>社区卫生服务中心（站），急救分站建设。</w:t>
                        </w:r>
                      </w:p>
                      <w:p>
                        <w:pPr>
                          <w:pStyle w:val="3"/>
                          <w:numPr>
                            <w:ilvl w:val="0"/>
                            <w:numId w:val="2"/>
                          </w:numPr>
                          <w:tabs>
                            <w:tab w:val="left" w:pos="1150"/>
                          </w:tabs>
                          <w:kinsoku w:val="0"/>
                          <w:overflowPunct w:val="0"/>
                          <w:spacing w:line="400" w:lineRule="exact"/>
                          <w:ind w:left="1150" w:hanging="400"/>
                          <w:rPr>
                            <w:rFonts w:hint="eastAsia"/>
                            <w:color w:val="231F20"/>
                            <w:sz w:val="32"/>
                            <w:szCs w:val="24"/>
                          </w:rPr>
                        </w:pPr>
                        <w:r>
                          <w:rPr>
                            <w:rFonts w:hint="eastAsia"/>
                            <w:color w:val="231F20"/>
                            <w:sz w:val="32"/>
                            <w:szCs w:val="24"/>
                          </w:rPr>
                          <w:t>全民健康信息平台、互联网医院监管平台建设。</w:t>
                        </w:r>
                      </w:p>
                      <w:p>
                        <w:pPr>
                          <w:pStyle w:val="3"/>
                          <w:numPr>
                            <w:ilvl w:val="0"/>
                            <w:numId w:val="2"/>
                          </w:numPr>
                          <w:tabs>
                            <w:tab w:val="left" w:pos="1153"/>
                          </w:tabs>
                          <w:kinsoku w:val="0"/>
                          <w:overflowPunct w:val="0"/>
                          <w:spacing w:line="560" w:lineRule="atLeast"/>
                          <w:ind w:left="69" w:right="148" w:firstLine="680"/>
                          <w:rPr>
                            <w:rFonts w:hint="eastAsia"/>
                            <w:color w:val="231F20"/>
                            <w:sz w:val="32"/>
                            <w:szCs w:val="24"/>
                          </w:rPr>
                        </w:pPr>
                        <w:r>
                          <w:rPr>
                            <w:rFonts w:hint="eastAsia"/>
                            <w:color w:val="231F20"/>
                            <w:spacing w:val="2"/>
                            <w:sz w:val="32"/>
                            <w:szCs w:val="24"/>
                          </w:rPr>
                          <w:t>按照“非禁即入”原则，支持社会力量通过市场化运</w:t>
                        </w:r>
                        <w:r>
                          <w:rPr>
                            <w:rFonts w:hint="eastAsia"/>
                            <w:color w:val="231F20"/>
                            <w:sz w:val="32"/>
                            <w:szCs w:val="24"/>
                          </w:rPr>
                          <w:t>作方式举办医疗及医养结合机构。</w:t>
                        </w:r>
                      </w:p>
                    </w:txbxContent>
                  </v:textbox>
                </v:shape>
                <w10:wrap type="topAndBottom"/>
              </v:group>
            </w:pict>
          </mc:Fallback>
        </mc:AlternateContent>
      </w:r>
      <w:r>
        <w:rPr>
          <w:rFonts w:hint="default" w:ascii="楷体_GB2312" w:hAnsi="楷体_GB2312" w:eastAsia="楷体_GB2312"/>
          <w:color w:val="231F20"/>
          <w:sz w:val="32"/>
          <w:szCs w:val="24"/>
        </w:rPr>
        <w:t>（九</w:t>
      </w:r>
      <w:r>
        <w:rPr>
          <w:rFonts w:hint="default" w:ascii="楷体_GB2312" w:hAnsi="楷体_GB2312" w:eastAsia="楷体_GB2312"/>
          <w:color w:val="231F20"/>
          <w:spacing w:val="-144"/>
          <w:sz w:val="32"/>
          <w:szCs w:val="24"/>
        </w:rPr>
        <w:t>）</w:t>
      </w:r>
      <w:r>
        <w:rPr>
          <w:rFonts w:hint="default" w:ascii="楷体_GB2312" w:hAnsi="楷体_GB2312" w:eastAsia="楷体_GB2312"/>
          <w:color w:val="231F20"/>
          <w:spacing w:val="-16"/>
          <w:sz w:val="32"/>
          <w:szCs w:val="24"/>
        </w:rPr>
        <w:t>提升血液保障能力。</w:t>
      </w:r>
      <w:r>
        <w:rPr>
          <w:rFonts w:hint="eastAsia"/>
          <w:color w:val="231F20"/>
          <w:spacing w:val="-13"/>
          <w:sz w:val="32"/>
          <w:szCs w:val="24"/>
        </w:rPr>
        <w:t>加强采供血机构标准化、规范化、</w:t>
      </w:r>
      <w:r>
        <w:rPr>
          <w:rFonts w:hint="eastAsia"/>
          <w:color w:val="231F20"/>
          <w:spacing w:val="1"/>
          <w:sz w:val="32"/>
          <w:szCs w:val="24"/>
        </w:rPr>
        <w:t>信息化建设，提高血液安全供应保障能力，满足各类突发事件</w:t>
      </w:r>
      <w:r>
        <w:rPr>
          <w:rFonts w:hint="eastAsia"/>
          <w:color w:val="231F20"/>
          <w:spacing w:val="-8"/>
          <w:sz w:val="32"/>
          <w:szCs w:val="24"/>
        </w:rPr>
        <w:t>先期处置需要。统筹优化区域内采血点布局，增加固定献血屋、</w:t>
      </w:r>
      <w:r>
        <w:rPr>
          <w:rFonts w:hint="eastAsia"/>
          <w:color w:val="231F20"/>
          <w:spacing w:val="-23"/>
          <w:sz w:val="32"/>
          <w:szCs w:val="24"/>
        </w:rPr>
        <w:t>采血车、送血车。加强采供血机构工作人员培训，提升人员能力。</w:t>
      </w:r>
    </w:p>
    <w:p>
      <w:pPr>
        <w:pStyle w:val="3"/>
        <w:kinsoku w:val="0"/>
        <w:overflowPunct w:val="0"/>
        <w:spacing w:before="277"/>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三、健全完善公共卫生服务体系</w:t>
      </w:r>
    </w:p>
    <w:p>
      <w:pPr>
        <w:pStyle w:val="3"/>
        <w:kinsoku w:val="0"/>
        <w:overflowPunct w:val="0"/>
        <w:spacing w:before="97" w:line="328" w:lineRule="auto"/>
        <w:ind w:right="44" w:firstLine="680"/>
        <w:rPr>
          <w:rFonts w:hint="eastAsia"/>
          <w:color w:val="231F20"/>
          <w:sz w:val="32"/>
          <w:szCs w:val="24"/>
        </w:rPr>
      </w:pPr>
      <w:r>
        <w:rPr>
          <w:rFonts w:hint="default" w:ascii="楷体_GB2312" w:hAnsi="楷体_GB2312" w:eastAsia="楷体_GB2312"/>
          <w:color w:val="231F20"/>
          <w:sz w:val="32"/>
          <w:szCs w:val="24"/>
        </w:rPr>
        <w:t>（十）深化疾病预防控制体系改革。</w:t>
      </w:r>
      <w:r>
        <w:rPr>
          <w:rFonts w:hint="eastAsia"/>
          <w:color w:val="231F20"/>
          <w:sz w:val="32"/>
          <w:szCs w:val="24"/>
        </w:rPr>
        <w:t>推进新区疾控中心标准化、现代化建设，完善传染病监测哨点布局，建立部门联动、</w:t>
      </w:r>
    </w:p>
    <w:p>
      <w:pPr>
        <w:pStyle w:val="3"/>
        <w:kinsoku w:val="0"/>
        <w:overflowPunct w:val="0"/>
        <w:spacing w:before="97" w:line="328" w:lineRule="auto"/>
        <w:ind w:right="44" w:firstLine="680"/>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rPr>
          <w:rFonts w:hint="eastAsia"/>
          <w:color w:val="231F20"/>
          <w:sz w:val="32"/>
          <w:szCs w:val="24"/>
        </w:rPr>
      </w:pPr>
      <w:r>
        <w:rPr>
          <w:rFonts w:hint="eastAsia"/>
          <w:color w:val="231F20"/>
          <w:spacing w:val="1"/>
          <w:sz w:val="32"/>
          <w:szCs w:val="24"/>
        </w:rPr>
        <w:t>分工协作机制，健全突发公共卫生事件应对预案体系，强化重</w:t>
      </w:r>
      <w:r>
        <w:rPr>
          <w:rFonts w:hint="eastAsia"/>
          <w:color w:val="231F20"/>
          <w:sz w:val="32"/>
          <w:szCs w:val="24"/>
        </w:rPr>
        <w:t>大传染病监测预警、风险评估、流行病学调查、检验检测、应</w:t>
      </w:r>
      <w:r>
        <w:rPr>
          <w:rFonts w:hint="eastAsia"/>
          <w:color w:val="231F20"/>
          <w:spacing w:val="1"/>
          <w:sz w:val="32"/>
          <w:szCs w:val="24"/>
        </w:rPr>
        <w:t>急处置等职能，分级分类组建卫生应急队伍，加强人员知识储</w:t>
      </w:r>
      <w:r>
        <w:rPr>
          <w:rFonts w:hint="eastAsia"/>
          <w:color w:val="231F20"/>
          <w:sz w:val="32"/>
          <w:szCs w:val="24"/>
        </w:rPr>
        <w:t xml:space="preserve">备、技能培训、应急演练。落实国家免疫规划，妥善处置预防接种异常反应，做好新冠疫苗接种医疗保障。强化医防融合， </w:t>
      </w:r>
      <w:r>
        <w:rPr>
          <w:rFonts w:hint="eastAsia"/>
          <w:color w:val="231F20"/>
          <w:spacing w:val="2"/>
          <w:sz w:val="32"/>
          <w:szCs w:val="24"/>
        </w:rPr>
        <w:t>加强专业公共卫生机构与各类医疗卫生机构之间的协作，探索</w:t>
      </w:r>
      <w:r>
        <w:rPr>
          <w:rFonts w:hint="eastAsia"/>
          <w:color w:val="231F20"/>
          <w:sz w:val="32"/>
          <w:szCs w:val="24"/>
        </w:rPr>
        <w:t>建立区域内疾控机构、二级以上医疗机构、基层医疗卫生机构</w:t>
      </w:r>
      <w:r>
        <w:rPr>
          <w:rFonts w:hint="eastAsia"/>
          <w:color w:val="231F20"/>
          <w:spacing w:val="-13"/>
          <w:sz w:val="32"/>
          <w:szCs w:val="24"/>
        </w:rPr>
        <w:t>共同参与的医防融合服务模式，推动医防机构“人员通”、“信</w:t>
      </w:r>
      <w:r>
        <w:rPr>
          <w:rFonts w:hint="eastAsia"/>
          <w:color w:val="231F20"/>
          <w:sz w:val="32"/>
          <w:szCs w:val="24"/>
        </w:rPr>
        <w:t>息通”、“资源通”，筑牢“全天候、立体化、全方位”的疾</w:t>
      </w:r>
      <w:r>
        <w:rPr>
          <w:rFonts w:hint="eastAsia"/>
          <w:color w:val="231F20"/>
          <w:spacing w:val="-6"/>
          <w:sz w:val="32"/>
          <w:szCs w:val="24"/>
        </w:rPr>
        <w:t xml:space="preserve">控机构和城乡社区联动工作机制。加强园区公共卫生工作力量， </w:t>
      </w:r>
      <w:r>
        <w:rPr>
          <w:rFonts w:hint="eastAsia"/>
          <w:color w:val="231F20"/>
          <w:spacing w:val="2"/>
          <w:sz w:val="32"/>
          <w:szCs w:val="24"/>
        </w:rPr>
        <w:t>强化镇</w:t>
      </w:r>
      <w:r>
        <w:rPr>
          <w:rFonts w:hint="eastAsia"/>
          <w:color w:val="231F20"/>
          <w:spacing w:val="4"/>
          <w:sz w:val="32"/>
          <w:szCs w:val="24"/>
        </w:rPr>
        <w:t>（</w:t>
      </w:r>
      <w:r>
        <w:rPr>
          <w:rFonts w:hint="eastAsia"/>
          <w:color w:val="231F20"/>
          <w:spacing w:val="3"/>
          <w:sz w:val="32"/>
          <w:szCs w:val="24"/>
        </w:rPr>
        <w:t>中心社区</w:t>
      </w:r>
      <w:r>
        <w:rPr>
          <w:rFonts w:hint="eastAsia"/>
          <w:color w:val="231F20"/>
          <w:spacing w:val="4"/>
          <w:sz w:val="32"/>
          <w:szCs w:val="24"/>
        </w:rPr>
        <w:t>）</w:t>
      </w:r>
      <w:r>
        <w:rPr>
          <w:rFonts w:hint="eastAsia"/>
          <w:color w:val="231F20"/>
          <w:spacing w:val="2"/>
          <w:sz w:val="32"/>
          <w:szCs w:val="24"/>
        </w:rPr>
        <w:t>和村</w:t>
      </w:r>
      <w:r>
        <w:rPr>
          <w:rFonts w:hint="eastAsia"/>
          <w:color w:val="231F20"/>
          <w:spacing w:val="4"/>
          <w:sz w:val="32"/>
          <w:szCs w:val="24"/>
        </w:rPr>
        <w:t>（</w:t>
      </w:r>
      <w:r>
        <w:rPr>
          <w:rFonts w:hint="eastAsia"/>
          <w:color w:val="231F20"/>
          <w:spacing w:val="2"/>
          <w:sz w:val="32"/>
          <w:szCs w:val="24"/>
        </w:rPr>
        <w:t>社区</w:t>
      </w:r>
      <w:r>
        <w:rPr>
          <w:rFonts w:hint="eastAsia"/>
          <w:color w:val="231F20"/>
          <w:spacing w:val="4"/>
          <w:sz w:val="32"/>
          <w:szCs w:val="24"/>
        </w:rPr>
        <w:t>）</w:t>
      </w:r>
      <w:r>
        <w:rPr>
          <w:rFonts w:hint="eastAsia"/>
          <w:color w:val="231F20"/>
          <w:spacing w:val="3"/>
          <w:sz w:val="32"/>
          <w:szCs w:val="24"/>
        </w:rPr>
        <w:t>公共卫生工作职责，健全社</w:t>
      </w:r>
      <w:r>
        <w:rPr>
          <w:rFonts w:hint="eastAsia"/>
          <w:color w:val="231F20"/>
          <w:spacing w:val="2"/>
          <w:sz w:val="32"/>
          <w:szCs w:val="24"/>
        </w:rPr>
        <w:t>区卫生服务中心与园区的协同联动机制，形成基层公共卫生工</w:t>
      </w:r>
      <w:r>
        <w:rPr>
          <w:rFonts w:hint="eastAsia"/>
          <w:color w:val="231F20"/>
          <w:sz w:val="32"/>
          <w:szCs w:val="24"/>
        </w:rPr>
        <w:t>作合力。</w:t>
      </w:r>
    </w:p>
    <w:p>
      <w:pPr>
        <w:pStyle w:val="3"/>
        <w:kinsoku w:val="0"/>
        <w:overflowPunct w:val="0"/>
        <w:spacing w:line="388" w:lineRule="exact"/>
        <w:ind w:left="957"/>
        <w:rPr>
          <w:rFonts w:hint="default" w:ascii="楷体_GB2312" w:hAnsi="楷体_GB2312" w:eastAsia="楷体_GB2312"/>
          <w:color w:val="231F20"/>
          <w:sz w:val="32"/>
          <w:szCs w:val="24"/>
        </w:rPr>
      </w:pPr>
      <w:r>
        <w:rPr>
          <w:rFonts w:hint="default" w:ascii="楷体_GB2312" w:hAnsi="楷体_GB2312" w:eastAsia="楷体_GB2312"/>
          <w:color w:val="231F20"/>
          <w:sz w:val="32"/>
          <w:szCs w:val="24"/>
        </w:rPr>
        <w:t>（十一</w:t>
      </w:r>
      <w:r>
        <w:rPr>
          <w:rFonts w:hint="default" w:ascii="楷体_GB2312" w:hAnsi="楷体_GB2312" w:eastAsia="楷体_GB2312"/>
          <w:color w:val="231F20"/>
          <w:spacing w:val="-110"/>
          <w:sz w:val="32"/>
          <w:szCs w:val="24"/>
        </w:rPr>
        <w:t>）</w:t>
      </w:r>
      <w:r>
        <w:rPr>
          <w:rFonts w:hint="default" w:ascii="楷体_GB2312" w:hAnsi="楷体_GB2312" w:eastAsia="楷体_GB2312"/>
          <w:color w:val="231F20"/>
          <w:sz w:val="32"/>
          <w:szCs w:val="24"/>
        </w:rPr>
        <w:t>完善重大疫情防控和突发公共卫生应急处置体系。</w:t>
      </w:r>
    </w:p>
    <w:p>
      <w:pPr>
        <w:pStyle w:val="3"/>
        <w:kinsoku w:val="0"/>
        <w:overflowPunct w:val="0"/>
        <w:spacing w:before="150" w:line="328" w:lineRule="auto"/>
        <w:ind w:right="115"/>
        <w:rPr>
          <w:rFonts w:hint="eastAsia"/>
          <w:color w:val="231F20"/>
          <w:sz w:val="32"/>
          <w:szCs w:val="24"/>
        </w:rPr>
      </w:pPr>
      <w:r>
        <w:rPr>
          <w:rFonts w:hint="eastAsia"/>
          <w:color w:val="231F20"/>
          <w:sz w:val="32"/>
          <w:szCs w:val="24"/>
        </w:rPr>
        <w:t>持续抓好常态化新冠肺炎疫情防控工作，坚持“外防输入、内防反弹”策略，守好中川国际机场口岸等关键场所，管好入境人员、国内中高风险区来甘人员、口岸高风险岗位人员、医务人员、冷链从业人员等重点人群，做好俄罗斯等入境航班集中留观保障工作，统筹常态化疫情防控与经济社会发展，构筑常</w:t>
      </w:r>
      <w:r>
        <w:rPr>
          <w:rFonts w:hint="eastAsia"/>
          <w:color w:val="231F20"/>
          <w:spacing w:val="-7"/>
          <w:sz w:val="32"/>
          <w:szCs w:val="24"/>
        </w:rPr>
        <w:t>态化疫情防控大格局、大防线。完善疫情监测预警、应急响应、</w:t>
      </w:r>
      <w:r>
        <w:rPr>
          <w:rFonts w:hint="eastAsia"/>
          <w:color w:val="231F20"/>
          <w:sz w:val="32"/>
          <w:szCs w:val="24"/>
        </w:rPr>
        <w:t>快速处置、物资储备制度，提高早期预防、及时发现、快速反应、精准研判和有效处置能力。建立统一高效的公共卫生应急指挥机制，实现公安、公卫、工信“三公</w:t>
      </w:r>
      <w:r>
        <w:rPr>
          <w:rFonts w:hint="eastAsia"/>
          <w:color w:val="231F20"/>
          <w:spacing w:val="4"/>
          <w:sz w:val="32"/>
          <w:szCs w:val="24"/>
        </w:rPr>
        <w:t>（</w:t>
      </w:r>
      <w:r>
        <w:rPr>
          <w:rFonts w:hint="eastAsia"/>
          <w:color w:val="231F20"/>
          <w:sz w:val="32"/>
          <w:szCs w:val="24"/>
        </w:rPr>
        <w:t>工）</w:t>
      </w:r>
      <w:r>
        <w:rPr>
          <w:rFonts w:hint="eastAsia"/>
          <w:color w:val="231F20"/>
          <w:spacing w:val="1"/>
          <w:sz w:val="32"/>
          <w:szCs w:val="24"/>
        </w:rPr>
        <w:t>”联动，全面</w:t>
      </w:r>
      <w:r>
        <w:rPr>
          <w:rFonts w:hint="eastAsia"/>
          <w:color w:val="231F20"/>
          <w:sz w:val="32"/>
          <w:szCs w:val="24"/>
        </w:rPr>
        <w:t>落实霍乱、新冠肺炎、流感、手足口病、麻疹等重点传染病疫</w:t>
      </w:r>
    </w:p>
    <w:p>
      <w:pPr>
        <w:pStyle w:val="3"/>
        <w:kinsoku w:val="0"/>
        <w:overflowPunct w:val="0"/>
        <w:spacing w:before="150" w:line="328" w:lineRule="auto"/>
        <w:ind w:right="115"/>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rPr>
          <w:rFonts w:hint="eastAsia"/>
          <w:color w:val="231F20"/>
          <w:sz w:val="32"/>
          <w:szCs w:val="24"/>
        </w:rPr>
      </w:pPr>
      <w:r>
        <w:rPr>
          <w:rFonts w:hint="eastAsia"/>
          <w:color w:val="231F20"/>
          <w:spacing w:val="-8"/>
          <w:sz w:val="32"/>
          <w:szCs w:val="24"/>
        </w:rPr>
        <w:t>情综合防治措施。加强艾滋病宣传干预，有效控制艾滋病传播。</w:t>
      </w:r>
      <w:r>
        <w:rPr>
          <w:rFonts w:hint="eastAsia"/>
          <w:color w:val="231F20"/>
          <w:spacing w:val="-10"/>
          <w:sz w:val="32"/>
          <w:szCs w:val="24"/>
        </w:rPr>
        <w:t>建立医疗、预防、科研为一体的协同机制和传染病首诊负责制。</w:t>
      </w:r>
      <w:r>
        <w:rPr>
          <w:rFonts w:hint="eastAsia"/>
          <w:color w:val="231F20"/>
          <w:sz w:val="32"/>
          <w:szCs w:val="24"/>
        </w:rPr>
        <w:t>按照平疫结合、分层分类、高效协作、中西医并重的原则，建</w:t>
      </w:r>
      <w:r>
        <w:rPr>
          <w:rFonts w:hint="eastAsia"/>
          <w:color w:val="231F20"/>
          <w:spacing w:val="1"/>
          <w:sz w:val="32"/>
          <w:szCs w:val="24"/>
        </w:rPr>
        <w:t>设区域医疗中心、重大疫情救治基地，推动甘肃省人民医院兰</w:t>
      </w:r>
      <w:r>
        <w:rPr>
          <w:rFonts w:hint="eastAsia"/>
          <w:color w:val="231F20"/>
          <w:sz w:val="32"/>
          <w:szCs w:val="24"/>
        </w:rPr>
        <w:t>州新区分院建设省市共建新冠肺炎定点救治医院，构建以省级</w:t>
      </w:r>
      <w:r>
        <w:rPr>
          <w:rFonts w:hint="eastAsia"/>
          <w:color w:val="231F20"/>
          <w:spacing w:val="-16"/>
          <w:sz w:val="32"/>
          <w:szCs w:val="24"/>
        </w:rPr>
        <w:t>集中医学观察隔离点</w:t>
      </w:r>
      <w:r>
        <w:rPr>
          <w:rFonts w:hint="eastAsia"/>
          <w:color w:val="231F20"/>
          <w:sz w:val="32"/>
          <w:szCs w:val="24"/>
        </w:rPr>
        <w:t>（健康驿站</w:t>
      </w:r>
      <w:r>
        <w:rPr>
          <w:rFonts w:hint="eastAsia"/>
          <w:color w:val="231F20"/>
          <w:spacing w:val="-138"/>
          <w:sz w:val="32"/>
          <w:szCs w:val="24"/>
        </w:rPr>
        <w:t>）</w:t>
      </w:r>
      <w:r>
        <w:rPr>
          <w:rFonts w:hint="eastAsia"/>
          <w:color w:val="231F20"/>
          <w:spacing w:val="-26"/>
          <w:sz w:val="32"/>
          <w:szCs w:val="24"/>
        </w:rPr>
        <w:t>为一线、兰州新区后备医院</w:t>
      </w:r>
      <w:r>
        <w:rPr>
          <w:rFonts w:hint="eastAsia"/>
          <w:color w:val="231F20"/>
          <w:sz w:val="32"/>
          <w:szCs w:val="24"/>
        </w:rPr>
        <w:t>（商</w:t>
      </w:r>
      <w:r>
        <w:rPr>
          <w:rFonts w:hint="eastAsia"/>
          <w:color w:val="231F20"/>
          <w:spacing w:val="2"/>
          <w:sz w:val="32"/>
          <w:szCs w:val="24"/>
        </w:rPr>
        <w:t>投集团综保公寓</w:t>
      </w:r>
      <w:r>
        <w:rPr>
          <w:rFonts w:hint="eastAsia"/>
          <w:color w:val="231F20"/>
          <w:spacing w:val="3"/>
          <w:sz w:val="32"/>
          <w:szCs w:val="24"/>
        </w:rPr>
        <w:t>）</w:t>
      </w:r>
      <w:r>
        <w:rPr>
          <w:rFonts w:hint="eastAsia"/>
          <w:color w:val="231F20"/>
          <w:spacing w:val="1"/>
          <w:sz w:val="32"/>
          <w:szCs w:val="24"/>
        </w:rPr>
        <w:t>为二线、其他符合条件的酒店为三线的三级</w:t>
      </w:r>
      <w:r>
        <w:rPr>
          <w:rFonts w:hint="eastAsia"/>
          <w:color w:val="231F20"/>
          <w:sz w:val="32"/>
          <w:szCs w:val="24"/>
        </w:rPr>
        <w:t xml:space="preserve">集中隔离场所储备体系。做好食品安全风险监测与风险评估， </w:t>
      </w:r>
      <w:r>
        <w:rPr>
          <w:rFonts w:hint="eastAsia"/>
          <w:color w:val="231F20"/>
          <w:spacing w:val="1"/>
          <w:sz w:val="32"/>
          <w:szCs w:val="24"/>
        </w:rPr>
        <w:t>持续开展食源性疾病、食品中化学污染物及有害因素、食源性</w:t>
      </w:r>
      <w:r>
        <w:rPr>
          <w:rFonts w:hint="eastAsia"/>
          <w:color w:val="231F20"/>
          <w:sz w:val="32"/>
          <w:szCs w:val="24"/>
        </w:rPr>
        <w:t>致病菌、放射性污染物的监测评估。</w:t>
      </w:r>
    </w:p>
    <w:p>
      <w:pPr>
        <w:pStyle w:val="3"/>
        <w:kinsoku w:val="0"/>
        <w:overflowPunct w:val="0"/>
        <w:spacing w:line="393" w:lineRule="exact"/>
        <w:ind w:left="957"/>
        <w:rPr>
          <w:rFonts w:hint="eastAsia"/>
          <w:color w:val="231F20"/>
          <w:sz w:val="32"/>
          <w:szCs w:val="24"/>
        </w:rPr>
      </w:pPr>
      <w:r>
        <w:rPr>
          <w:rFonts w:hint="default" w:ascii="楷体_GB2312" w:hAnsi="楷体_GB2312" w:eastAsia="楷体_GB2312"/>
          <w:color w:val="231F20"/>
          <w:sz w:val="32"/>
          <w:szCs w:val="24"/>
        </w:rPr>
        <w:t>（十二）强化慢性病防治体系建设。</w:t>
      </w:r>
      <w:r>
        <w:rPr>
          <w:rFonts w:hint="eastAsia"/>
          <w:color w:val="231F20"/>
          <w:sz w:val="32"/>
          <w:szCs w:val="24"/>
        </w:rPr>
        <w:t>完善重大疾病健康危</w:t>
      </w:r>
    </w:p>
    <w:p>
      <w:pPr>
        <w:pStyle w:val="3"/>
        <w:kinsoku w:val="0"/>
        <w:overflowPunct w:val="0"/>
        <w:spacing w:before="150" w:line="328" w:lineRule="auto"/>
        <w:ind w:right="115"/>
        <w:rPr>
          <w:rFonts w:hint="eastAsia"/>
          <w:color w:val="231F20"/>
          <w:sz w:val="32"/>
          <w:szCs w:val="24"/>
        </w:rPr>
      </w:pPr>
      <w:r>
        <w:rPr>
          <w:rFonts w:hint="eastAsia"/>
          <w:color w:val="231F20"/>
          <w:sz w:val="32"/>
          <w:szCs w:val="24"/>
        </w:rPr>
        <w:t>险因素监测制度，建立信息共享、互联互通机制。持续加强高血压、糖尿病、慢性阻塞性肺疾病、严重精神障碍等综合防控</w:t>
      </w:r>
      <w:r>
        <w:rPr>
          <w:rFonts w:hint="eastAsia"/>
          <w:color w:val="231F20"/>
          <w:spacing w:val="2"/>
          <w:sz w:val="32"/>
          <w:szCs w:val="24"/>
        </w:rPr>
        <w:t xml:space="preserve">与管理，开展健康教育和高危人群筛查干预，全面落实 </w:t>
      </w:r>
      <w:r>
        <w:rPr>
          <w:rFonts w:hint="eastAsia"/>
          <w:color w:val="231F20"/>
          <w:sz w:val="32"/>
          <w:szCs w:val="24"/>
        </w:rPr>
        <w:t>35</w:t>
      </w:r>
      <w:r>
        <w:rPr>
          <w:rFonts w:hint="eastAsia"/>
          <w:color w:val="231F20"/>
          <w:spacing w:val="-39"/>
          <w:sz w:val="32"/>
          <w:szCs w:val="24"/>
        </w:rPr>
        <w:t xml:space="preserve"> 岁</w:t>
      </w:r>
      <w:r>
        <w:rPr>
          <w:rFonts w:hint="eastAsia"/>
          <w:color w:val="231F20"/>
          <w:spacing w:val="-40"/>
          <w:sz w:val="32"/>
          <w:szCs w:val="24"/>
        </w:rPr>
        <w:t>以上人群首诊测血压制度，推动“三高”疾病</w:t>
      </w:r>
      <w:r>
        <w:rPr>
          <w:rFonts w:hint="eastAsia"/>
          <w:color w:val="231F20"/>
          <w:sz w:val="32"/>
          <w:szCs w:val="24"/>
        </w:rPr>
        <w:t>（</w:t>
      </w:r>
      <w:r>
        <w:rPr>
          <w:rFonts w:hint="eastAsia"/>
          <w:color w:val="231F20"/>
          <w:spacing w:val="-13"/>
          <w:sz w:val="32"/>
          <w:szCs w:val="24"/>
        </w:rPr>
        <w:t>高血压、高血糖、</w:t>
      </w:r>
      <w:r>
        <w:rPr>
          <w:rFonts w:hint="eastAsia"/>
          <w:color w:val="231F20"/>
          <w:spacing w:val="2"/>
          <w:sz w:val="32"/>
          <w:szCs w:val="24"/>
        </w:rPr>
        <w:t>高血脂</w:t>
      </w:r>
      <w:r>
        <w:rPr>
          <w:rFonts w:hint="eastAsia"/>
          <w:color w:val="231F20"/>
          <w:spacing w:val="4"/>
          <w:sz w:val="32"/>
          <w:szCs w:val="24"/>
        </w:rPr>
        <w:t>）</w:t>
      </w:r>
      <w:r>
        <w:rPr>
          <w:rFonts w:hint="eastAsia"/>
          <w:color w:val="231F20"/>
          <w:spacing w:val="1"/>
          <w:sz w:val="32"/>
          <w:szCs w:val="24"/>
        </w:rPr>
        <w:t>群防共治、规范管理。有效干预糖尿病危险因素，加</w:t>
      </w:r>
      <w:r>
        <w:rPr>
          <w:rFonts w:hint="eastAsia"/>
          <w:color w:val="231F20"/>
          <w:spacing w:val="2"/>
          <w:sz w:val="32"/>
          <w:szCs w:val="24"/>
        </w:rPr>
        <w:t>强精神卫生和社会心理健康服务体系建设。建设兰州新区精神</w:t>
      </w:r>
      <w:r>
        <w:rPr>
          <w:rFonts w:hint="eastAsia"/>
          <w:color w:val="231F20"/>
          <w:sz w:val="32"/>
          <w:szCs w:val="24"/>
        </w:rPr>
        <w:t>卫生中心，在各级医疗机构建设心理健康咨询室，增加精神科</w:t>
      </w:r>
      <w:r>
        <w:rPr>
          <w:rFonts w:hint="eastAsia"/>
          <w:color w:val="231F20"/>
          <w:spacing w:val="-20"/>
          <w:sz w:val="32"/>
          <w:szCs w:val="24"/>
        </w:rPr>
        <w:t>医师数量，到</w:t>
      </w:r>
      <w:r>
        <w:rPr>
          <w:rFonts w:hint="eastAsia"/>
          <w:color w:val="231F20"/>
          <w:sz w:val="32"/>
          <w:szCs w:val="24"/>
        </w:rPr>
        <w:t>2025</w:t>
      </w:r>
      <w:r>
        <w:rPr>
          <w:rFonts w:hint="eastAsia"/>
          <w:color w:val="231F20"/>
          <w:spacing w:val="-20"/>
          <w:sz w:val="32"/>
          <w:szCs w:val="24"/>
        </w:rPr>
        <w:t xml:space="preserve"> 年，精神科医师数量增加至</w:t>
      </w:r>
      <w:r>
        <w:rPr>
          <w:rFonts w:hint="eastAsia"/>
          <w:color w:val="231F20"/>
          <w:sz w:val="32"/>
          <w:szCs w:val="24"/>
        </w:rPr>
        <w:t>4.0</w:t>
      </w:r>
      <w:r>
        <w:rPr>
          <w:rFonts w:hint="eastAsia"/>
          <w:color w:val="231F20"/>
          <w:spacing w:val="-40"/>
          <w:sz w:val="32"/>
          <w:szCs w:val="24"/>
        </w:rPr>
        <w:t xml:space="preserve"> 名</w:t>
      </w:r>
      <w:r>
        <w:rPr>
          <w:rFonts w:hint="eastAsia"/>
          <w:color w:val="231F20"/>
          <w:sz w:val="32"/>
          <w:szCs w:val="24"/>
        </w:rPr>
        <w:t>/10</w:t>
      </w:r>
      <w:r>
        <w:rPr>
          <w:rFonts w:hint="eastAsia"/>
          <w:color w:val="231F20"/>
          <w:spacing w:val="-27"/>
          <w:sz w:val="32"/>
          <w:szCs w:val="24"/>
        </w:rPr>
        <w:t xml:space="preserve"> 万人口。</w:t>
      </w:r>
      <w:r>
        <w:rPr>
          <w:rFonts w:hint="eastAsia"/>
          <w:color w:val="231F20"/>
          <w:sz w:val="32"/>
          <w:szCs w:val="24"/>
        </w:rPr>
        <w:t>建立“医防融合”脑卒中预防与救治体系，加强卒中中心、胸</w:t>
      </w:r>
      <w:r>
        <w:rPr>
          <w:rFonts w:hint="eastAsia"/>
          <w:color w:val="231F20"/>
          <w:spacing w:val="1"/>
          <w:sz w:val="32"/>
          <w:szCs w:val="24"/>
        </w:rPr>
        <w:t>痛中心建设，倡导积极预防癌症，引导重点人群早期发现呼吸</w:t>
      </w:r>
      <w:r>
        <w:rPr>
          <w:rFonts w:hint="eastAsia"/>
          <w:color w:val="231F20"/>
          <w:sz w:val="32"/>
          <w:szCs w:val="24"/>
        </w:rPr>
        <w:t>系统疾病。开展高危人群和患者的筛查、干预、诊断、治疗、随访管理、功能康复等全程防治管理服务。</w:t>
      </w:r>
    </w:p>
    <w:p>
      <w:pPr>
        <w:pStyle w:val="3"/>
        <w:kinsoku w:val="0"/>
        <w:overflowPunct w:val="0"/>
        <w:spacing w:line="390" w:lineRule="exact"/>
        <w:ind w:left="957"/>
        <w:rPr>
          <w:rFonts w:hint="eastAsia"/>
          <w:color w:val="231F20"/>
          <w:sz w:val="32"/>
          <w:szCs w:val="24"/>
        </w:rPr>
      </w:pPr>
      <w:r>
        <w:rPr>
          <w:rFonts w:hint="default" w:ascii="楷体_GB2312" w:hAnsi="楷体_GB2312" w:eastAsia="楷体_GB2312"/>
          <w:color w:val="231F20"/>
          <w:sz w:val="32"/>
          <w:szCs w:val="24"/>
        </w:rPr>
        <w:t>（十三）持续推进公共卫生服务均等化。</w:t>
      </w:r>
      <w:r>
        <w:rPr>
          <w:rFonts w:hint="eastAsia"/>
          <w:color w:val="231F20"/>
          <w:sz w:val="32"/>
          <w:szCs w:val="24"/>
        </w:rPr>
        <w:t>落实健康中国发</w:t>
      </w:r>
    </w:p>
    <w:p>
      <w:pPr>
        <w:pStyle w:val="3"/>
        <w:kinsoku w:val="0"/>
        <w:overflowPunct w:val="0"/>
        <w:spacing w:line="390" w:lineRule="exact"/>
        <w:ind w:left="957"/>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70"/>
        <w:jc w:val="both"/>
        <w:rPr>
          <w:rFonts w:hint="eastAsia"/>
          <w:color w:val="231F20"/>
          <w:sz w:val="32"/>
          <w:szCs w:val="24"/>
        </w:rPr>
      </w:pPr>
      <w:r>
        <w:rPr>
          <w:rFonts w:hint="eastAsia"/>
          <w:color w:val="231F20"/>
          <w:sz w:val="32"/>
          <w:szCs w:val="24"/>
        </w:rPr>
        <w:t>展战略，健全由政府主导、公共卫生专业机构为主体、各医疗机构为骨干、各部门通力协作的新区、县（园区）、乡镇三级公共卫生服务体系。实现村（居）公共卫生委员会全覆盖并积极发挥作用。通过优化公卫管理结构、人才合理调剂等优化资源配置，提高公共卫生现代化治理能力。推进基本公共卫生服务均等化，加强妇幼、青少年、老年、慢病人群、职业人群健康管理。倡导健康生活方式，提升健康素养，有效控制慢性病发病率、致残率、死亡率，群众身心健康水平进一步提高。加强信息技术应用，在公共卫生领域充分运用健康一体机、健康体检系统等信息技术，促进数字赋能，提升现代化治理水平， 建设现代化公共卫生服务体系。</w:t>
      </w:r>
    </w:p>
    <w:p>
      <w:pPr>
        <w:pStyle w:val="3"/>
        <w:kinsoku w:val="0"/>
        <w:overflowPunct w:val="0"/>
        <w:spacing w:line="391" w:lineRule="exact"/>
        <w:ind w:left="957"/>
        <w:rPr>
          <w:rFonts w:hint="eastAsia"/>
          <w:color w:val="231F20"/>
          <w:sz w:val="32"/>
          <w:szCs w:val="24"/>
        </w:rPr>
      </w:pPr>
      <w:r>
        <w:rPr>
          <w:rFonts w:hint="default" w:ascii="楷体_GB2312" w:hAnsi="楷体_GB2312" w:eastAsia="楷体_GB2312"/>
          <w:color w:val="231F20"/>
          <w:sz w:val="32"/>
          <w:szCs w:val="24"/>
        </w:rPr>
        <w:t>（十四</w:t>
      </w:r>
      <w:r>
        <w:rPr>
          <w:rFonts w:hint="default" w:ascii="楷体_GB2312" w:hAnsi="楷体_GB2312" w:eastAsia="楷体_GB2312"/>
          <w:color w:val="231F20"/>
          <w:spacing w:val="-55"/>
          <w:sz w:val="32"/>
          <w:szCs w:val="24"/>
        </w:rPr>
        <w:t>）</w:t>
      </w:r>
      <w:r>
        <w:rPr>
          <w:rFonts w:hint="default" w:ascii="楷体_GB2312" w:hAnsi="楷体_GB2312" w:eastAsia="楷体_GB2312"/>
          <w:color w:val="231F20"/>
          <w:spacing w:val="-5"/>
          <w:sz w:val="32"/>
          <w:szCs w:val="24"/>
        </w:rPr>
        <w:t>巩固提升健康扶贫成效。</w:t>
      </w:r>
      <w:r>
        <w:rPr>
          <w:rFonts w:hint="eastAsia"/>
          <w:color w:val="231F20"/>
          <w:sz w:val="32"/>
          <w:szCs w:val="24"/>
        </w:rPr>
        <w:t>继续开展健康服务入户、</w:t>
      </w:r>
    </w:p>
    <w:p>
      <w:pPr>
        <w:pStyle w:val="3"/>
        <w:kinsoku w:val="0"/>
        <w:overflowPunct w:val="0"/>
        <w:spacing w:before="150" w:line="328" w:lineRule="auto"/>
        <w:ind w:right="115"/>
        <w:rPr>
          <w:rFonts w:hint="eastAsia"/>
          <w:color w:val="231F20"/>
          <w:spacing w:val="6"/>
          <w:sz w:val="32"/>
          <w:szCs w:val="24"/>
        </w:rPr>
      </w:pPr>
      <w:r>
        <w:rPr>
          <w:rFonts w:hint="eastAsia"/>
          <w:color w:val="231F20"/>
          <w:sz w:val="32"/>
          <w:szCs w:val="24"/>
        </w:rPr>
        <w:t>重点人群帮扶措施制定、健康教育、送医上门、送人就医、康</w:t>
      </w:r>
      <w:r>
        <w:rPr>
          <w:rFonts w:hint="eastAsia"/>
          <w:color w:val="231F20"/>
          <w:spacing w:val="-27"/>
          <w:sz w:val="32"/>
          <w:szCs w:val="24"/>
        </w:rPr>
        <w:t>复指导、政策宣讲等健康帮扶工作。开通就医绿色通道，落实“先</w:t>
      </w:r>
      <w:r>
        <w:rPr>
          <w:rFonts w:hint="eastAsia"/>
          <w:color w:val="231F20"/>
          <w:spacing w:val="-13"/>
          <w:sz w:val="32"/>
          <w:szCs w:val="24"/>
        </w:rPr>
        <w:t xml:space="preserve">看病、后付费”不收取押金不设起付线。加强与社保部门沟通， </w:t>
      </w:r>
      <w:r>
        <w:rPr>
          <w:rFonts w:hint="eastAsia"/>
          <w:color w:val="231F20"/>
          <w:spacing w:val="1"/>
          <w:sz w:val="32"/>
          <w:szCs w:val="24"/>
        </w:rPr>
        <w:t>对辖区内脱贫人口、脱贫不稳定人口和边缘易致贫人口，积极</w:t>
      </w:r>
      <w:r>
        <w:rPr>
          <w:rFonts w:hint="eastAsia"/>
          <w:color w:val="231F20"/>
          <w:sz w:val="32"/>
          <w:szCs w:val="24"/>
        </w:rPr>
        <w:t xml:space="preserve">落实健康帮扶政策。积极发挥监测哨点作用，及时将动态监测数据录入全国健康扶贫动态管理系统。紧盯基本医疗、防止返贫监测和健康帮扶等底线问题，定期组织健康帮扶团队开展基本医疗保障自查。支持皋兰县推进融合发展规划和项目建设， </w:t>
      </w:r>
      <w:r>
        <w:rPr>
          <w:rFonts w:hint="eastAsia"/>
          <w:color w:val="231F20"/>
          <w:spacing w:val="-40"/>
          <w:sz w:val="32"/>
          <w:szCs w:val="24"/>
        </w:rPr>
        <w:t xml:space="preserve">至 </w:t>
      </w:r>
      <w:r>
        <w:rPr>
          <w:rFonts w:hint="eastAsia"/>
          <w:color w:val="231F20"/>
          <w:spacing w:val="4"/>
          <w:sz w:val="32"/>
          <w:szCs w:val="24"/>
        </w:rPr>
        <w:t>2025</w:t>
      </w:r>
      <w:r>
        <w:rPr>
          <w:rFonts w:hint="eastAsia"/>
          <w:color w:val="231F20"/>
          <w:sz w:val="32"/>
          <w:szCs w:val="24"/>
        </w:rPr>
        <w:t xml:space="preserve"> 年，所有乡镇卫生院均达到“优质服务基层行”活动</w:t>
      </w:r>
      <w:r>
        <w:rPr>
          <w:rFonts w:hint="eastAsia"/>
          <w:color w:val="231F20"/>
          <w:spacing w:val="-3"/>
          <w:sz w:val="32"/>
          <w:szCs w:val="24"/>
        </w:rPr>
        <w:t xml:space="preserve">国家基本标准。全力保障新区避险搬迁群众安置点健康服务， </w:t>
      </w:r>
      <w:r>
        <w:rPr>
          <w:rFonts w:hint="eastAsia"/>
          <w:color w:val="231F20"/>
          <w:spacing w:val="15"/>
          <w:sz w:val="32"/>
          <w:szCs w:val="24"/>
        </w:rPr>
        <w:t>建设医疗卫生及养老服务中心，保障避险搬迁群众基本医疗</w:t>
      </w:r>
      <w:r>
        <w:rPr>
          <w:rFonts w:hint="eastAsia"/>
          <w:color w:val="231F20"/>
          <w:spacing w:val="6"/>
          <w:sz w:val="32"/>
          <w:szCs w:val="24"/>
        </w:rPr>
        <w:t>健康服务。</w:t>
      </w:r>
    </w:p>
    <w:p>
      <w:pPr>
        <w:pStyle w:val="3"/>
        <w:kinsoku w:val="0"/>
        <w:overflowPunct w:val="0"/>
        <w:spacing w:before="150" w:line="328" w:lineRule="auto"/>
        <w:ind w:right="115"/>
        <w:rPr>
          <w:rFonts w:hint="eastAsia"/>
          <w:color w:val="231F20"/>
          <w:spacing w:val="6"/>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left="289" w:right="263" w:firstLine="680"/>
        <w:rPr>
          <w:rFonts w:hint="eastAsia"/>
          <w:color w:val="231F20"/>
          <w:spacing w:val="-19"/>
          <w:sz w:val="32"/>
          <w:szCs w:val="24"/>
        </w:rPr>
      </w:pPr>
      <w:r>
        <w:rPr>
          <w:rFonts w:hint="default"/>
          <w:sz w:val="19"/>
          <w:szCs w:val="24"/>
        </w:rPr>
        <mc:AlternateContent>
          <mc:Choice Requires="wpg">
            <w:drawing>
              <wp:anchor distT="0" distB="0" distL="0" distR="0" simplePos="0" relativeHeight="251660288" behindDoc="0" locked="0" layoutInCell="1" allowOverlap="1">
                <wp:simplePos x="0" y="0"/>
                <wp:positionH relativeFrom="page">
                  <wp:posOffset>1115695</wp:posOffset>
                </wp:positionH>
                <wp:positionV relativeFrom="paragraph">
                  <wp:posOffset>819785</wp:posOffset>
                </wp:positionV>
                <wp:extent cx="5608955" cy="3708400"/>
                <wp:effectExtent l="0" t="635" r="1270" b="11430"/>
                <wp:wrapTopAndBottom/>
                <wp:docPr id="13" name="组合 9"/>
                <wp:cNvGraphicFramePr/>
                <a:graphic xmlns:a="http://schemas.openxmlformats.org/drawingml/2006/main">
                  <a:graphicData uri="http://schemas.microsoft.com/office/word/2010/wordprocessingGroup">
                    <wpg:wgp>
                      <wpg:cNvGrpSpPr/>
                      <wpg:grpSpPr>
                        <a:xfrm>
                          <a:off x="0" y="0"/>
                          <a:ext cx="5608955" cy="3708400"/>
                          <a:chOff x="1757" y="1292"/>
                          <a:chExt cx="8833" cy="5845"/>
                        </a:xfrm>
                      </wpg:grpSpPr>
                      <wps:wsp>
                        <wps:cNvPr id="8" name="任意多边形 10"/>
                        <wps:cNvSpPr/>
                        <wps:spPr>
                          <a:xfrm>
                            <a:off x="1757" y="1304"/>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9" name="任意多边形 11"/>
                        <wps:cNvSpPr/>
                        <wps:spPr>
                          <a:xfrm>
                            <a:off x="1770" y="1317"/>
                            <a:ext cx="20" cy="5788"/>
                          </a:xfrm>
                          <a:custGeom>
                            <a:avLst/>
                            <a:gdLst/>
                            <a:ahLst/>
                            <a:cxnLst/>
                            <a:pathLst>
                              <a:path w="20" h="5788">
                                <a:moveTo>
                                  <a:pt x="0" y="5787"/>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10" name="任意多边形 12"/>
                        <wps:cNvSpPr/>
                        <wps:spPr>
                          <a:xfrm>
                            <a:off x="10487" y="1317"/>
                            <a:ext cx="20" cy="5788"/>
                          </a:xfrm>
                          <a:custGeom>
                            <a:avLst/>
                            <a:gdLst/>
                            <a:ahLst/>
                            <a:cxnLst/>
                            <a:pathLst>
                              <a:path w="20" h="5788">
                                <a:moveTo>
                                  <a:pt x="0" y="5787"/>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11" name="任意多边形 13"/>
                        <wps:cNvSpPr/>
                        <wps:spPr>
                          <a:xfrm>
                            <a:off x="1757" y="7117"/>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12" name="文本框 14"/>
                        <wps:cNvSpPr txBox="true"/>
                        <wps:spPr>
                          <a:xfrm>
                            <a:off x="1757" y="1292"/>
                            <a:ext cx="8833" cy="5840"/>
                          </a:xfrm>
                          <a:prstGeom prst="rect">
                            <a:avLst/>
                          </a:prstGeom>
                          <a:noFill/>
                          <a:ln>
                            <a:noFill/>
                          </a:ln>
                        </wps:spPr>
                        <wps:txbx>
                          <w:txbxContent>
                            <w:p>
                              <w:pPr>
                                <w:pStyle w:val="3"/>
                                <w:kinsoku w:val="0"/>
                                <w:overflowPunct w:val="0"/>
                                <w:spacing w:before="153"/>
                                <w:ind w:left="1819"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3：公共卫生服务体系建设</w:t>
                              </w:r>
                            </w:p>
                            <w:p>
                              <w:pPr>
                                <w:pStyle w:val="3"/>
                                <w:numPr>
                                  <w:ilvl w:val="0"/>
                                  <w:numId w:val="3"/>
                                </w:numPr>
                                <w:tabs>
                                  <w:tab w:val="left" w:pos="1153"/>
                                </w:tabs>
                                <w:kinsoku w:val="0"/>
                                <w:overflowPunct w:val="0"/>
                                <w:spacing w:before="96" w:line="328" w:lineRule="auto"/>
                                <w:ind w:right="147" w:firstLine="680"/>
                                <w:jc w:val="both"/>
                                <w:rPr>
                                  <w:rFonts w:hint="eastAsia"/>
                                  <w:color w:val="231F20"/>
                                  <w:sz w:val="32"/>
                                  <w:szCs w:val="24"/>
                                </w:rPr>
                              </w:pPr>
                              <w:r>
                                <w:rPr>
                                  <w:rFonts w:hint="eastAsia"/>
                                  <w:color w:val="231F20"/>
                                  <w:spacing w:val="6"/>
                                  <w:sz w:val="32"/>
                                  <w:szCs w:val="24"/>
                                </w:rPr>
                                <w:t>强化园区公共卫生工作力量，细化镇</w:t>
                              </w:r>
                              <w:r>
                                <w:rPr>
                                  <w:rFonts w:hint="eastAsia"/>
                                  <w:color w:val="231F20"/>
                                  <w:spacing w:val="8"/>
                                  <w:sz w:val="32"/>
                                  <w:szCs w:val="24"/>
                                </w:rPr>
                                <w:t>（</w:t>
                              </w:r>
                              <w:r>
                                <w:rPr>
                                  <w:rFonts w:hint="eastAsia"/>
                                  <w:color w:val="231F20"/>
                                  <w:spacing w:val="7"/>
                                  <w:sz w:val="32"/>
                                  <w:szCs w:val="24"/>
                                </w:rPr>
                                <w:t>中心社区</w:t>
                              </w:r>
                              <w:r>
                                <w:rPr>
                                  <w:rFonts w:hint="eastAsia"/>
                                  <w:color w:val="231F20"/>
                                  <w:spacing w:val="8"/>
                                  <w:sz w:val="32"/>
                                  <w:szCs w:val="24"/>
                                </w:rPr>
                                <w:t>）和</w:t>
                              </w:r>
                              <w:r>
                                <w:rPr>
                                  <w:rFonts w:hint="eastAsia"/>
                                  <w:color w:val="231F20"/>
                                  <w:sz w:val="32"/>
                                  <w:szCs w:val="24"/>
                                </w:rPr>
                                <w:t>村</w:t>
                              </w:r>
                              <w:r>
                                <w:rPr>
                                  <w:rFonts w:hint="eastAsia"/>
                                  <w:color w:val="231F20"/>
                                  <w:spacing w:val="12"/>
                                  <w:sz w:val="32"/>
                                  <w:szCs w:val="24"/>
                                </w:rPr>
                                <w:t>（</w:t>
                              </w:r>
                              <w:r>
                                <w:rPr>
                                  <w:rFonts w:hint="eastAsia"/>
                                  <w:color w:val="231F20"/>
                                  <w:spacing w:val="8"/>
                                  <w:sz w:val="32"/>
                                  <w:szCs w:val="24"/>
                                </w:rPr>
                                <w:t>社区</w:t>
                              </w:r>
                              <w:r>
                                <w:rPr>
                                  <w:rFonts w:hint="eastAsia"/>
                                  <w:color w:val="231F20"/>
                                  <w:spacing w:val="12"/>
                                  <w:sz w:val="32"/>
                                  <w:szCs w:val="24"/>
                                </w:rPr>
                                <w:t>）</w:t>
                              </w:r>
                              <w:r>
                                <w:rPr>
                                  <w:rFonts w:hint="eastAsia"/>
                                  <w:color w:val="231F20"/>
                                  <w:spacing w:val="10"/>
                                  <w:sz w:val="32"/>
                                  <w:szCs w:val="24"/>
                                </w:rPr>
                                <w:t>公共卫生工作职责，健全社区卫生服务中心与园</w:t>
                              </w:r>
                              <w:r>
                                <w:rPr>
                                  <w:rFonts w:hint="eastAsia"/>
                                  <w:color w:val="231F20"/>
                                  <w:sz w:val="32"/>
                                  <w:szCs w:val="24"/>
                                </w:rPr>
                                <w:t>区的协同联动机制。</w:t>
                              </w:r>
                            </w:p>
                            <w:p>
                              <w:pPr>
                                <w:pStyle w:val="3"/>
                                <w:numPr>
                                  <w:ilvl w:val="0"/>
                                  <w:numId w:val="3"/>
                                </w:numPr>
                                <w:tabs>
                                  <w:tab w:val="left" w:pos="1153"/>
                                </w:tabs>
                                <w:kinsoku w:val="0"/>
                                <w:overflowPunct w:val="0"/>
                                <w:spacing w:line="328" w:lineRule="auto"/>
                                <w:ind w:right="146" w:firstLine="680"/>
                                <w:jc w:val="both"/>
                                <w:rPr>
                                  <w:rFonts w:hint="eastAsia"/>
                                  <w:color w:val="231F20"/>
                                  <w:sz w:val="32"/>
                                  <w:szCs w:val="24"/>
                                </w:rPr>
                              </w:pPr>
                              <w:r>
                                <w:rPr>
                                  <w:rFonts w:hint="eastAsia"/>
                                  <w:color w:val="231F20"/>
                                  <w:spacing w:val="5"/>
                                  <w:sz w:val="32"/>
                                  <w:szCs w:val="24"/>
                                </w:rPr>
                                <w:t>建立统一高效的公共卫生应急指挥机制，实现公安、</w:t>
                              </w:r>
                              <w:r>
                                <w:rPr>
                                  <w:rFonts w:hint="eastAsia"/>
                                  <w:color w:val="231F20"/>
                                  <w:spacing w:val="-3"/>
                                  <w:sz w:val="32"/>
                                  <w:szCs w:val="24"/>
                                </w:rPr>
                                <w:t>公卫、工信“三公</w:t>
                              </w:r>
                              <w:r>
                                <w:rPr>
                                  <w:rFonts w:hint="eastAsia"/>
                                  <w:color w:val="231F20"/>
                                  <w:sz w:val="32"/>
                                  <w:szCs w:val="24"/>
                                </w:rPr>
                                <w:t>（工</w:t>
                              </w:r>
                              <w:r>
                                <w:rPr>
                                  <w:rFonts w:hint="eastAsia"/>
                                  <w:color w:val="231F20"/>
                                  <w:spacing w:val="-6"/>
                                  <w:sz w:val="32"/>
                                  <w:szCs w:val="24"/>
                                </w:rPr>
                                <w:t>）</w:t>
                              </w:r>
                              <w:r>
                                <w:rPr>
                                  <w:rFonts w:hint="eastAsia"/>
                                  <w:color w:val="231F20"/>
                                  <w:spacing w:val="-4"/>
                                  <w:sz w:val="32"/>
                                  <w:szCs w:val="24"/>
                                </w:rPr>
                                <w:t>”联动，全面落实霍乱、新冠肺炎、</w:t>
                              </w:r>
                              <w:r>
                                <w:rPr>
                                  <w:rFonts w:hint="eastAsia"/>
                                  <w:color w:val="231F20"/>
                                  <w:spacing w:val="5"/>
                                  <w:sz w:val="32"/>
                                  <w:szCs w:val="24"/>
                                </w:rPr>
                                <w:t>流感、手足口病、麻疹等重点传染病疫情综合防治措施，实</w:t>
                              </w:r>
                              <w:r>
                                <w:rPr>
                                  <w:rFonts w:hint="eastAsia"/>
                                  <w:color w:val="231F20"/>
                                  <w:sz w:val="32"/>
                                  <w:szCs w:val="24"/>
                                </w:rPr>
                                <w:t>施新区公共卫生实验室及疾控体系能力提升项目。</w:t>
                              </w:r>
                            </w:p>
                            <w:p>
                              <w:pPr>
                                <w:pStyle w:val="3"/>
                                <w:numPr>
                                  <w:ilvl w:val="0"/>
                                  <w:numId w:val="3"/>
                                </w:numPr>
                                <w:tabs>
                                  <w:tab w:val="left" w:pos="1128"/>
                                </w:tabs>
                                <w:kinsoku w:val="0"/>
                                <w:overflowPunct w:val="0"/>
                                <w:spacing w:line="328" w:lineRule="auto"/>
                                <w:ind w:firstLine="680"/>
                                <w:jc w:val="both"/>
                                <w:rPr>
                                  <w:rFonts w:hint="eastAsia"/>
                                  <w:color w:val="231F20"/>
                                  <w:spacing w:val="-16"/>
                                  <w:sz w:val="32"/>
                                  <w:szCs w:val="24"/>
                                </w:rPr>
                              </w:pPr>
                              <w:r>
                                <w:rPr>
                                  <w:rFonts w:hint="eastAsia"/>
                                  <w:color w:val="231F20"/>
                                  <w:spacing w:val="-10"/>
                                  <w:sz w:val="32"/>
                                  <w:szCs w:val="24"/>
                                </w:rPr>
                                <w:t xml:space="preserve">支持皋兰县推进融合发展规划和项目建设，至 </w:t>
                              </w:r>
                              <w:r>
                                <w:rPr>
                                  <w:rFonts w:hint="eastAsia"/>
                                  <w:color w:val="231F20"/>
                                  <w:sz w:val="32"/>
                                  <w:szCs w:val="24"/>
                                </w:rPr>
                                <w:t>2025</w:t>
                              </w:r>
                              <w:r>
                                <w:rPr>
                                  <w:rFonts w:hint="eastAsia"/>
                                  <w:color w:val="231F20"/>
                                  <w:spacing w:val="-41"/>
                                  <w:sz w:val="32"/>
                                  <w:szCs w:val="24"/>
                                </w:rPr>
                                <w:t xml:space="preserve"> 年， </w:t>
                              </w:r>
                              <w:r>
                                <w:rPr>
                                  <w:rFonts w:hint="eastAsia"/>
                                  <w:color w:val="231F20"/>
                                  <w:spacing w:val="-16"/>
                                  <w:sz w:val="32"/>
                                  <w:szCs w:val="24"/>
                                </w:rPr>
                                <w:t>所有乡镇卫生院均达到“优质服务基层行”活动国家基本标准。</w:t>
                              </w:r>
                            </w:p>
                          </w:txbxContent>
                        </wps:txbx>
                        <wps:bodyPr vert="horz" wrap="square" lIns="0" tIns="0" rIns="0" bIns="0" upright="true"/>
                      </wps:wsp>
                    </wpg:wgp>
                  </a:graphicData>
                </a:graphic>
              </wp:anchor>
            </w:drawing>
          </mc:Choice>
          <mc:Fallback>
            <w:pict>
              <v:group id="组合 9" o:spid="_x0000_s1026" o:spt="203" style="position:absolute;left:0pt;margin-left:87.85pt;margin-top:64.55pt;height:292pt;width:441.65pt;mso-position-horizontal-relative:page;mso-wrap-distance-bottom:0pt;mso-wrap-distance-top:0pt;z-index:251660288;mso-width-relative:page;mso-height-relative:page;" coordorigin="1757,1292" coordsize="8833,5845" o:gfxdata="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BYAAABkcnMvUEsBAhQAFAAAAAgAh07i&#10;QLTM2AXaAAAADAEAAA8AAAAAAAAAAQAgAAAAOAAAAGRycy9kb3ducmV2LnhtbFBLAQIUABQAAAAI&#10;AIdO4kCNKs3CnQMAAIQPAAAOAAAAAAAAAAEAIAAAAD8BAABkcnMvZTJvRG9jLnhtbFBLBQYAAAAA&#10;BgAGAFkBAABOBwAAAAA=&#10;">
                <o:lock v:ext="edit" aspectratio="f"/>
                <v:shape id="任意多边形 10" o:spid="_x0000_s1026" o:spt="100" style="position:absolute;left:1757;top:1304;height:20;width:8743;" filled="f" stroked="t" coordsize="8743,20" o:gfxdata="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&#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xJWZWuQAAANoAAAAPAAAAAAAAAAEAIAAAADgAAABkcnMvZG93bnJldi54bWxQ&#10;SwECFAAUAAAACACHTuJAMy8FnjsAAAA5AAAAEAAAAAAAAAABACAAAAAeAQAAZHJzL3NoYXBleG1s&#10;LnhtbFBLBQYAAAAABgAGAFsBAADIAwAAAAA=&#10;" path="m0,0l8742,0e">
                  <v:fill on="f" focussize="0,0"/>
                  <v:stroke weight="1.3pt" color="#231F20" joinstyle="round"/>
                  <v:imagedata o:title=""/>
                  <o:lock v:ext="edit" aspectratio="f"/>
                </v:shape>
                <v:shape id="任意多边形 11" o:spid="_x0000_s1026" o:spt="100" style="position:absolute;left:1770;top:1317;height:5788;width:20;" filled="f" stroked="t" coordsize="20,5788" o:gfxdata="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5BHUb0AAADaAAAADwAAAAAAAAABACAAAAA4AAAAZHJzL2Rvd25yZXYu&#10;eG1sUEsBAhQAFAAAAAgAh07iQDMvBZ47AAAAOQAAABAAAAAAAAAAAQAgAAAAIgEAAGRycy9zaGFw&#10;ZXhtbC54bWxQSwUGAAAAAAYABgBbAQAAzAMAAAAA&#10;" path="m0,5787l0,0e">
                  <v:fill on="f" focussize="0,0"/>
                  <v:stroke weight="1.3pt" color="#231F20" joinstyle="round"/>
                  <v:imagedata o:title=""/>
                  <o:lock v:ext="edit" aspectratio="f"/>
                </v:shape>
                <v:shape id="任意多边形 12" o:spid="_x0000_s1026" o:spt="100" style="position:absolute;left:10487;top:1317;height:5788;width:20;" filled="f" stroked="t" coordsize="20,5788" o:gfxdata="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vXVdL0AAADbAAAADwAAAAAAAAABACAAAAA4AAAAZHJzL2Rvd25yZXYu&#10;eG1sUEsBAhQAFAAAAAgAh07iQDMvBZ47AAAAOQAAABAAAAAAAAAAAQAgAAAAIgEAAGRycy9zaGFw&#10;ZXhtbC54bWxQSwUGAAAAAAYABgBbAQAAzAMAAAAA&#10;" path="m0,5787l0,0e">
                  <v:fill on="f" focussize="0,0"/>
                  <v:stroke weight="1.3pt" color="#231F20" joinstyle="round"/>
                  <v:imagedata o:title=""/>
                  <o:lock v:ext="edit" aspectratio="f"/>
                </v:shape>
                <v:shape id="任意多边形 13" o:spid="_x0000_s1026" o:spt="100" style="position:absolute;left:1757;top:7117;height:20;width:8743;" filled="f" stroked="t" coordsize="8743,20" o:gfxdata="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3rnVLoAAADbAAAADwAAAAAAAAABACAAAAA4AAAAZHJzL2Rvd25yZXYueG1s&#10;UEsBAhQAFAAAAAgAh07iQDMvBZ47AAAAOQAAABAAAAAAAAAAAQAgAAAAHwEAAGRycy9zaGFwZXht&#10;bC54bWxQSwUGAAAAAAYABgBbAQAAyQMAAAAA&#10;" path="m0,0l8742,0e">
                  <v:fill on="f" focussize="0,0"/>
                  <v:stroke weight="1.3pt" color="#231F20" joinstyle="round"/>
                  <v:imagedata o:title=""/>
                  <o:lock v:ext="edit" aspectratio="f"/>
                </v:shape>
                <v:shape id="文本框 14" o:spid="_x0000_s1026" o:spt="202" type="#_x0000_t202" style="position:absolute;left:1757;top:1292;height:5840;width:8833;" filled="f" stroked="f" coordsize="21600,21600" o:gfxdata="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lMpU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pStyle w:val="3"/>
                          <w:kinsoku w:val="0"/>
                          <w:overflowPunct w:val="0"/>
                          <w:spacing w:before="153"/>
                          <w:ind w:left="1819"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3：公共卫生服务体系建设</w:t>
                        </w:r>
                      </w:p>
                      <w:p>
                        <w:pPr>
                          <w:pStyle w:val="3"/>
                          <w:numPr>
                            <w:ilvl w:val="0"/>
                            <w:numId w:val="3"/>
                          </w:numPr>
                          <w:tabs>
                            <w:tab w:val="left" w:pos="1153"/>
                          </w:tabs>
                          <w:kinsoku w:val="0"/>
                          <w:overflowPunct w:val="0"/>
                          <w:spacing w:before="96" w:line="328" w:lineRule="auto"/>
                          <w:ind w:right="147" w:firstLine="680"/>
                          <w:jc w:val="both"/>
                          <w:rPr>
                            <w:rFonts w:hint="eastAsia"/>
                            <w:color w:val="231F20"/>
                            <w:sz w:val="32"/>
                            <w:szCs w:val="24"/>
                          </w:rPr>
                        </w:pPr>
                        <w:r>
                          <w:rPr>
                            <w:rFonts w:hint="eastAsia"/>
                            <w:color w:val="231F20"/>
                            <w:spacing w:val="6"/>
                            <w:sz w:val="32"/>
                            <w:szCs w:val="24"/>
                          </w:rPr>
                          <w:t>强化园区公共卫生工作力量，细化镇</w:t>
                        </w:r>
                        <w:r>
                          <w:rPr>
                            <w:rFonts w:hint="eastAsia"/>
                            <w:color w:val="231F20"/>
                            <w:spacing w:val="8"/>
                            <w:sz w:val="32"/>
                            <w:szCs w:val="24"/>
                          </w:rPr>
                          <w:t>（</w:t>
                        </w:r>
                        <w:r>
                          <w:rPr>
                            <w:rFonts w:hint="eastAsia"/>
                            <w:color w:val="231F20"/>
                            <w:spacing w:val="7"/>
                            <w:sz w:val="32"/>
                            <w:szCs w:val="24"/>
                          </w:rPr>
                          <w:t>中心社区</w:t>
                        </w:r>
                        <w:r>
                          <w:rPr>
                            <w:rFonts w:hint="eastAsia"/>
                            <w:color w:val="231F20"/>
                            <w:spacing w:val="8"/>
                            <w:sz w:val="32"/>
                            <w:szCs w:val="24"/>
                          </w:rPr>
                          <w:t>）和</w:t>
                        </w:r>
                        <w:r>
                          <w:rPr>
                            <w:rFonts w:hint="eastAsia"/>
                            <w:color w:val="231F20"/>
                            <w:sz w:val="32"/>
                            <w:szCs w:val="24"/>
                          </w:rPr>
                          <w:t>村</w:t>
                        </w:r>
                        <w:r>
                          <w:rPr>
                            <w:rFonts w:hint="eastAsia"/>
                            <w:color w:val="231F20"/>
                            <w:spacing w:val="12"/>
                            <w:sz w:val="32"/>
                            <w:szCs w:val="24"/>
                          </w:rPr>
                          <w:t>（</w:t>
                        </w:r>
                        <w:r>
                          <w:rPr>
                            <w:rFonts w:hint="eastAsia"/>
                            <w:color w:val="231F20"/>
                            <w:spacing w:val="8"/>
                            <w:sz w:val="32"/>
                            <w:szCs w:val="24"/>
                          </w:rPr>
                          <w:t>社区</w:t>
                        </w:r>
                        <w:r>
                          <w:rPr>
                            <w:rFonts w:hint="eastAsia"/>
                            <w:color w:val="231F20"/>
                            <w:spacing w:val="12"/>
                            <w:sz w:val="32"/>
                            <w:szCs w:val="24"/>
                          </w:rPr>
                          <w:t>）</w:t>
                        </w:r>
                        <w:r>
                          <w:rPr>
                            <w:rFonts w:hint="eastAsia"/>
                            <w:color w:val="231F20"/>
                            <w:spacing w:val="10"/>
                            <w:sz w:val="32"/>
                            <w:szCs w:val="24"/>
                          </w:rPr>
                          <w:t>公共卫生工作职责，健全社区卫生服务中心与园</w:t>
                        </w:r>
                        <w:r>
                          <w:rPr>
                            <w:rFonts w:hint="eastAsia"/>
                            <w:color w:val="231F20"/>
                            <w:sz w:val="32"/>
                            <w:szCs w:val="24"/>
                          </w:rPr>
                          <w:t>区的协同联动机制。</w:t>
                        </w:r>
                      </w:p>
                      <w:p>
                        <w:pPr>
                          <w:pStyle w:val="3"/>
                          <w:numPr>
                            <w:ilvl w:val="0"/>
                            <w:numId w:val="3"/>
                          </w:numPr>
                          <w:tabs>
                            <w:tab w:val="left" w:pos="1153"/>
                          </w:tabs>
                          <w:kinsoku w:val="0"/>
                          <w:overflowPunct w:val="0"/>
                          <w:spacing w:line="328" w:lineRule="auto"/>
                          <w:ind w:right="146" w:firstLine="680"/>
                          <w:jc w:val="both"/>
                          <w:rPr>
                            <w:rFonts w:hint="eastAsia"/>
                            <w:color w:val="231F20"/>
                            <w:sz w:val="32"/>
                            <w:szCs w:val="24"/>
                          </w:rPr>
                        </w:pPr>
                        <w:r>
                          <w:rPr>
                            <w:rFonts w:hint="eastAsia"/>
                            <w:color w:val="231F20"/>
                            <w:spacing w:val="5"/>
                            <w:sz w:val="32"/>
                            <w:szCs w:val="24"/>
                          </w:rPr>
                          <w:t>建立统一高效的公共卫生应急指挥机制，实现公安、</w:t>
                        </w:r>
                        <w:r>
                          <w:rPr>
                            <w:rFonts w:hint="eastAsia"/>
                            <w:color w:val="231F20"/>
                            <w:spacing w:val="-3"/>
                            <w:sz w:val="32"/>
                            <w:szCs w:val="24"/>
                          </w:rPr>
                          <w:t>公卫、工信“三公</w:t>
                        </w:r>
                        <w:r>
                          <w:rPr>
                            <w:rFonts w:hint="eastAsia"/>
                            <w:color w:val="231F20"/>
                            <w:sz w:val="32"/>
                            <w:szCs w:val="24"/>
                          </w:rPr>
                          <w:t>（工</w:t>
                        </w:r>
                        <w:r>
                          <w:rPr>
                            <w:rFonts w:hint="eastAsia"/>
                            <w:color w:val="231F20"/>
                            <w:spacing w:val="-6"/>
                            <w:sz w:val="32"/>
                            <w:szCs w:val="24"/>
                          </w:rPr>
                          <w:t>）</w:t>
                        </w:r>
                        <w:r>
                          <w:rPr>
                            <w:rFonts w:hint="eastAsia"/>
                            <w:color w:val="231F20"/>
                            <w:spacing w:val="-4"/>
                            <w:sz w:val="32"/>
                            <w:szCs w:val="24"/>
                          </w:rPr>
                          <w:t>”联动，全面落实霍乱、新冠肺炎、</w:t>
                        </w:r>
                        <w:r>
                          <w:rPr>
                            <w:rFonts w:hint="eastAsia"/>
                            <w:color w:val="231F20"/>
                            <w:spacing w:val="5"/>
                            <w:sz w:val="32"/>
                            <w:szCs w:val="24"/>
                          </w:rPr>
                          <w:t>流感、手足口病、麻疹等重点传染病疫情综合防治措施，实</w:t>
                        </w:r>
                        <w:r>
                          <w:rPr>
                            <w:rFonts w:hint="eastAsia"/>
                            <w:color w:val="231F20"/>
                            <w:sz w:val="32"/>
                            <w:szCs w:val="24"/>
                          </w:rPr>
                          <w:t>施新区公共卫生实验室及疾控体系能力提升项目。</w:t>
                        </w:r>
                      </w:p>
                      <w:p>
                        <w:pPr>
                          <w:pStyle w:val="3"/>
                          <w:numPr>
                            <w:ilvl w:val="0"/>
                            <w:numId w:val="3"/>
                          </w:numPr>
                          <w:tabs>
                            <w:tab w:val="left" w:pos="1128"/>
                          </w:tabs>
                          <w:kinsoku w:val="0"/>
                          <w:overflowPunct w:val="0"/>
                          <w:spacing w:line="328" w:lineRule="auto"/>
                          <w:ind w:firstLine="680"/>
                          <w:jc w:val="both"/>
                          <w:rPr>
                            <w:rFonts w:hint="eastAsia"/>
                            <w:color w:val="231F20"/>
                            <w:spacing w:val="-16"/>
                            <w:sz w:val="32"/>
                            <w:szCs w:val="24"/>
                          </w:rPr>
                        </w:pPr>
                        <w:r>
                          <w:rPr>
                            <w:rFonts w:hint="eastAsia"/>
                            <w:color w:val="231F20"/>
                            <w:spacing w:val="-10"/>
                            <w:sz w:val="32"/>
                            <w:szCs w:val="24"/>
                          </w:rPr>
                          <w:t xml:space="preserve">支持皋兰县推进融合发展规划和项目建设，至 </w:t>
                        </w:r>
                        <w:r>
                          <w:rPr>
                            <w:rFonts w:hint="eastAsia"/>
                            <w:color w:val="231F20"/>
                            <w:sz w:val="32"/>
                            <w:szCs w:val="24"/>
                          </w:rPr>
                          <w:t>2025</w:t>
                        </w:r>
                        <w:r>
                          <w:rPr>
                            <w:rFonts w:hint="eastAsia"/>
                            <w:color w:val="231F20"/>
                            <w:spacing w:val="-41"/>
                            <w:sz w:val="32"/>
                            <w:szCs w:val="24"/>
                          </w:rPr>
                          <w:t xml:space="preserve"> 年， </w:t>
                        </w:r>
                        <w:r>
                          <w:rPr>
                            <w:rFonts w:hint="eastAsia"/>
                            <w:color w:val="231F20"/>
                            <w:spacing w:val="-16"/>
                            <w:sz w:val="32"/>
                            <w:szCs w:val="24"/>
                          </w:rPr>
                          <w:t>所有乡镇卫生院均达到“优质服务基层行”活动国家基本标准。</w:t>
                        </w:r>
                      </w:p>
                    </w:txbxContent>
                  </v:textbox>
                </v:shape>
                <w10:wrap type="topAndBottom"/>
              </v:group>
            </w:pict>
          </mc:Fallback>
        </mc:AlternateContent>
      </w:r>
      <w:r>
        <w:rPr>
          <w:rFonts w:hint="default" w:ascii="楷体_GB2312" w:hAnsi="楷体_GB2312" w:eastAsia="楷体_GB2312"/>
          <w:color w:val="231F20"/>
          <w:sz w:val="32"/>
          <w:szCs w:val="24"/>
        </w:rPr>
        <w:t>（十五）继续做好地方病防控。</w:t>
      </w:r>
      <w:r>
        <w:rPr>
          <w:rFonts w:hint="eastAsia"/>
          <w:color w:val="231F20"/>
          <w:spacing w:val="-12"/>
          <w:sz w:val="32"/>
          <w:szCs w:val="24"/>
        </w:rPr>
        <w:t>持续消除碘缺乏危害 ; 以</w:t>
      </w:r>
      <w:r>
        <w:rPr>
          <w:rFonts w:hint="eastAsia"/>
          <w:color w:val="231F20"/>
          <w:spacing w:val="-19"/>
          <w:sz w:val="32"/>
          <w:szCs w:val="24"/>
        </w:rPr>
        <w:t>养殖行业为重点，开展布鲁氏病防治知识宣传 , 降低发病率。</w:t>
      </w:r>
    </w:p>
    <w:p>
      <w:pPr>
        <w:pStyle w:val="3"/>
        <w:kinsoku w:val="0"/>
        <w:overflowPunct w:val="0"/>
        <w:spacing w:before="134"/>
        <w:ind w:left="969"/>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四、深入推进医药卫生体制改革</w:t>
      </w:r>
    </w:p>
    <w:p>
      <w:pPr>
        <w:pStyle w:val="3"/>
        <w:kinsoku w:val="0"/>
        <w:overflowPunct w:val="0"/>
        <w:spacing w:before="97" w:line="328" w:lineRule="auto"/>
        <w:ind w:left="289" w:right="103" w:firstLine="680"/>
        <w:rPr>
          <w:rFonts w:hint="eastAsia"/>
          <w:color w:val="231F20"/>
          <w:spacing w:val="1"/>
          <w:sz w:val="32"/>
          <w:szCs w:val="24"/>
        </w:rPr>
      </w:pPr>
      <w:r>
        <w:rPr>
          <w:rFonts w:hint="default" w:ascii="楷体_GB2312" w:hAnsi="楷体_GB2312" w:eastAsia="楷体_GB2312"/>
          <w:color w:val="231F20"/>
          <w:sz w:val="32"/>
          <w:szCs w:val="24"/>
        </w:rPr>
        <w:t>（十六）强化“三医联动”改革。</w:t>
      </w:r>
      <w:r>
        <w:rPr>
          <w:rFonts w:hint="eastAsia"/>
          <w:color w:val="231F20"/>
          <w:sz w:val="32"/>
          <w:szCs w:val="24"/>
        </w:rPr>
        <w:t>全面推广三明市深化医</w:t>
      </w:r>
      <w:r>
        <w:rPr>
          <w:rFonts w:hint="eastAsia"/>
          <w:color w:val="231F20"/>
          <w:spacing w:val="1"/>
          <w:sz w:val="32"/>
          <w:szCs w:val="24"/>
        </w:rPr>
        <w:t>药卫生体制改革经验，建立高效有力的组织领导体系，切实落</w:t>
      </w:r>
      <w:r>
        <w:rPr>
          <w:rFonts w:hint="eastAsia"/>
          <w:color w:val="231F20"/>
          <w:sz w:val="32"/>
          <w:szCs w:val="24"/>
        </w:rPr>
        <w:t xml:space="preserve">实政府对医改的领导责任、保障责任、管理责任、监督责任， </w:t>
      </w:r>
      <w:r>
        <w:rPr>
          <w:rFonts w:hint="eastAsia"/>
          <w:color w:val="231F20"/>
          <w:spacing w:val="-8"/>
          <w:sz w:val="32"/>
          <w:szCs w:val="24"/>
        </w:rPr>
        <w:t>紧扣分级诊疗、现代医院管理、全民医疗保障、药品供应保障、</w:t>
      </w:r>
      <w:r>
        <w:rPr>
          <w:rFonts w:hint="eastAsia"/>
          <w:color w:val="231F20"/>
          <w:sz w:val="32"/>
          <w:szCs w:val="24"/>
        </w:rPr>
        <w:t>综合监管“五项制度”建设，补齐关键缺项。加强公立医院综</w:t>
      </w:r>
      <w:r>
        <w:rPr>
          <w:rFonts w:hint="eastAsia"/>
          <w:color w:val="231F20"/>
          <w:spacing w:val="2"/>
          <w:sz w:val="32"/>
          <w:szCs w:val="24"/>
        </w:rPr>
        <w:t>合改革和绩效评价工作，健全医疗卫生机构和医务人员绩效考</w:t>
      </w:r>
      <w:r>
        <w:rPr>
          <w:rFonts w:hint="eastAsia"/>
          <w:color w:val="231F20"/>
          <w:sz w:val="32"/>
          <w:szCs w:val="24"/>
        </w:rPr>
        <w:t>核机制。推进区域医疗中心建设，促进优质医疗资源扩容下沉和均衡布局。完善分级诊疗制度，加快建设紧密型医联体和县</w:t>
      </w:r>
      <w:r>
        <w:rPr>
          <w:rFonts w:hint="eastAsia"/>
          <w:color w:val="231F20"/>
          <w:spacing w:val="-9"/>
          <w:sz w:val="32"/>
          <w:szCs w:val="24"/>
        </w:rPr>
        <w:t>域医共体，全面发展专科联盟和技术联盟，推进临床路径管理、</w:t>
      </w:r>
      <w:r>
        <w:rPr>
          <w:rFonts w:hint="eastAsia"/>
          <w:color w:val="231F20"/>
          <w:spacing w:val="1"/>
          <w:sz w:val="32"/>
          <w:szCs w:val="24"/>
        </w:rPr>
        <w:t>单病种质量管理，促进合理医疗检查。推行以按病种付费为主</w:t>
      </w:r>
    </w:p>
    <w:p>
      <w:pPr>
        <w:pStyle w:val="3"/>
        <w:kinsoku w:val="0"/>
        <w:overflowPunct w:val="0"/>
        <w:spacing w:before="97" w:line="328" w:lineRule="auto"/>
        <w:ind w:left="289" w:right="103" w:firstLine="680"/>
        <w:rPr>
          <w:rFonts w:hint="eastAsia"/>
          <w:color w:val="231F20"/>
          <w:spacing w:val="1"/>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53"/>
        <w:rPr>
          <w:rFonts w:hint="eastAsia"/>
          <w:color w:val="231F20"/>
          <w:sz w:val="32"/>
          <w:szCs w:val="24"/>
        </w:rPr>
      </w:pPr>
      <w:r>
        <w:rPr>
          <w:rFonts w:hint="eastAsia"/>
          <w:color w:val="231F20"/>
          <w:sz w:val="32"/>
          <w:szCs w:val="24"/>
        </w:rPr>
        <w:t>的多元复合式医保支付方式，推广按疾病诊断相关分组（DRGs） 付费、区域点数法总额预算和按病种分值付费（DIP）的国家试点经验。以药品耗材阳光挂网采购、集中带量采购为突破口， 推动医疗服务价格动态调整。健全卫生健康、医保、市场监管等部门的交流协作机制，加强部门间沟通衔接，共同促进各项工作协调有序发展。</w:t>
      </w:r>
    </w:p>
    <w:p>
      <w:pPr>
        <w:pStyle w:val="3"/>
        <w:kinsoku w:val="0"/>
        <w:overflowPunct w:val="0"/>
        <w:spacing w:line="328" w:lineRule="auto"/>
        <w:ind w:right="115" w:firstLine="680"/>
        <w:rPr>
          <w:rFonts w:hint="eastAsia"/>
          <w:color w:val="231F20"/>
          <w:sz w:val="32"/>
          <w:szCs w:val="24"/>
        </w:rPr>
      </w:pPr>
      <w:r>
        <w:rPr>
          <w:rFonts w:hint="default" w:ascii="楷体_GB2312" w:hAnsi="楷体_GB2312" w:eastAsia="楷体_GB2312"/>
          <w:color w:val="231F20"/>
          <w:sz w:val="32"/>
          <w:szCs w:val="24"/>
        </w:rPr>
        <w:t>（十七）完善卫生行业综合监管制度。</w:t>
      </w:r>
      <w:r>
        <w:rPr>
          <w:rFonts w:hint="eastAsia"/>
          <w:color w:val="231F20"/>
          <w:sz w:val="32"/>
          <w:szCs w:val="24"/>
        </w:rPr>
        <w:t>完善医疗卫生行业</w:t>
      </w:r>
      <w:r>
        <w:rPr>
          <w:rFonts w:hint="eastAsia"/>
          <w:color w:val="231F20"/>
          <w:spacing w:val="1"/>
          <w:sz w:val="32"/>
          <w:szCs w:val="24"/>
        </w:rPr>
        <w:t>综合监管协调工作机制，健全运转有效的统筹协调、联席会议</w:t>
      </w:r>
      <w:r>
        <w:rPr>
          <w:rFonts w:hint="eastAsia"/>
          <w:color w:val="231F20"/>
          <w:sz w:val="32"/>
          <w:szCs w:val="24"/>
        </w:rPr>
        <w:t>和综合监管信息互通共享制度，落实部门责任，发挥医疗卫生机构自我管理和行业组织作用，创新监管手段，加强公立医院</w:t>
      </w:r>
      <w:r>
        <w:rPr>
          <w:rFonts w:hint="eastAsia"/>
          <w:color w:val="231F20"/>
          <w:spacing w:val="-8"/>
          <w:sz w:val="32"/>
          <w:szCs w:val="24"/>
        </w:rPr>
        <w:t>内部审计和绩效评价，加强国有资产和大型医用设备配置管理。</w:t>
      </w:r>
      <w:r>
        <w:rPr>
          <w:rFonts w:hint="eastAsia"/>
          <w:color w:val="231F20"/>
          <w:sz w:val="32"/>
          <w:szCs w:val="24"/>
        </w:rPr>
        <w:t>加快职能转变，推进健康相关领域的“放管服”改革，提升医疗卫生行业综合监管能力。</w:t>
      </w:r>
    </w:p>
    <w:p>
      <w:pPr>
        <w:pStyle w:val="3"/>
        <w:kinsoku w:val="0"/>
        <w:overflowPunct w:val="0"/>
        <w:spacing w:line="328" w:lineRule="auto"/>
        <w:ind w:right="269" w:firstLine="680"/>
        <w:jc w:val="both"/>
        <w:rPr>
          <w:rFonts w:hint="eastAsia"/>
          <w:color w:val="231F20"/>
          <w:spacing w:val="2"/>
          <w:sz w:val="32"/>
          <w:szCs w:val="24"/>
        </w:rPr>
      </w:pPr>
      <w:r>
        <w:rPr>
          <w:rFonts w:hint="default" w:ascii="楷体_GB2312" w:hAnsi="楷体_GB2312" w:eastAsia="楷体_GB2312"/>
          <w:color w:val="231F20"/>
          <w:sz w:val="32"/>
          <w:szCs w:val="24"/>
        </w:rPr>
        <w:t>（十八）提升医疗卫生综合服务能力。</w:t>
      </w:r>
      <w:r>
        <w:rPr>
          <w:rFonts w:hint="eastAsia"/>
          <w:color w:val="231F20"/>
          <w:sz w:val="32"/>
          <w:szCs w:val="24"/>
        </w:rPr>
        <w:t>持续推进二级及以上综合医院、中医医院、专科医院服务和管理能力建设，大力</w:t>
      </w:r>
      <w:r>
        <w:rPr>
          <w:rFonts w:hint="eastAsia"/>
          <w:color w:val="231F20"/>
          <w:spacing w:val="-9"/>
          <w:sz w:val="32"/>
          <w:szCs w:val="24"/>
        </w:rPr>
        <w:t xml:space="preserve">推进急危重症 </w:t>
      </w:r>
      <w:r>
        <w:rPr>
          <w:rFonts w:hint="eastAsia"/>
          <w:color w:val="231F20"/>
          <w:sz w:val="32"/>
          <w:szCs w:val="24"/>
        </w:rPr>
        <w:t>5</w:t>
      </w:r>
      <w:r>
        <w:rPr>
          <w:rFonts w:hint="eastAsia"/>
          <w:color w:val="231F20"/>
          <w:spacing w:val="-6"/>
          <w:sz w:val="32"/>
          <w:szCs w:val="24"/>
        </w:rPr>
        <w:t xml:space="preserve"> 大救治中心建设，创伤、卒中、孕产妇、新生</w:t>
      </w:r>
      <w:r>
        <w:rPr>
          <w:rFonts w:hint="eastAsia"/>
          <w:color w:val="231F20"/>
          <w:spacing w:val="1"/>
          <w:sz w:val="32"/>
          <w:szCs w:val="24"/>
        </w:rPr>
        <w:t>儿救治中心实现区域全覆盖。加强质控中心建设，持续完善医</w:t>
      </w:r>
      <w:r>
        <w:rPr>
          <w:rFonts w:hint="eastAsia"/>
          <w:color w:val="231F20"/>
          <w:sz w:val="32"/>
          <w:szCs w:val="24"/>
        </w:rPr>
        <w:t>疗质量管理与控制指标体系，强化医疗质量管理，落实医疗质量核心制度，确保医疗质量安全。加强临床药事管理，规范临床用药行为，促进临床合理用药。规范医疗技术临床应用管理工作，促进医学科学发展和医疗技术进步。进一步推进护理管理精细化，提高护理质量。深入实施改善医疗服务行动计划， 创新服务方式，增进人文关怀，切实保障未成年人、老年人、</w:t>
      </w:r>
      <w:r>
        <w:rPr>
          <w:rFonts w:hint="eastAsia"/>
          <w:color w:val="231F20"/>
          <w:spacing w:val="2"/>
          <w:sz w:val="32"/>
          <w:szCs w:val="24"/>
        </w:rPr>
        <w:t>残疾人和流动人口等特殊人群的健康服务需求。加强平安医院</w:t>
      </w:r>
    </w:p>
    <w:p>
      <w:pPr>
        <w:pStyle w:val="3"/>
        <w:kinsoku w:val="0"/>
        <w:overflowPunct w:val="0"/>
        <w:spacing w:line="328" w:lineRule="auto"/>
        <w:ind w:right="269" w:firstLine="680"/>
        <w:jc w:val="both"/>
        <w:rPr>
          <w:rFonts w:hint="eastAsia"/>
          <w:color w:val="231F20"/>
          <w:spacing w:val="2"/>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68"/>
        <w:jc w:val="both"/>
        <w:rPr>
          <w:rFonts w:hint="eastAsia"/>
          <w:color w:val="231F20"/>
          <w:sz w:val="32"/>
          <w:szCs w:val="24"/>
        </w:rPr>
      </w:pPr>
      <w:r>
        <w:rPr>
          <w:rFonts w:hint="eastAsia"/>
          <w:color w:val="231F20"/>
          <w:sz w:val="32"/>
          <w:szCs w:val="24"/>
        </w:rPr>
        <w:t>建设，巩固“调保防赔”医疗纠纷化解联动机制，严厉打击涉医违法犯罪，切实维护良好的医疗秩序。加强医德医风教育， 规范医疗机构从业人员执业行为，促进医疗行风建设。加强疾病应急救助基金管理，保证基金的合理筹集和有效使用。</w:t>
      </w:r>
    </w:p>
    <w:p>
      <w:pPr>
        <w:pStyle w:val="3"/>
        <w:kinsoku w:val="0"/>
        <w:overflowPunct w:val="0"/>
        <w:spacing w:line="328" w:lineRule="auto"/>
        <w:ind w:right="270" w:firstLine="680"/>
        <w:jc w:val="both"/>
        <w:rPr>
          <w:rFonts w:hint="eastAsia"/>
          <w:color w:val="231F20"/>
          <w:sz w:val="32"/>
          <w:szCs w:val="24"/>
        </w:rPr>
      </w:pPr>
      <w:r>
        <w:rPr>
          <w:rFonts w:hint="default" w:ascii="楷体_GB2312" w:hAnsi="楷体_GB2312" w:eastAsia="楷体_GB2312"/>
          <w:color w:val="231F20"/>
          <w:sz w:val="32"/>
          <w:szCs w:val="24"/>
        </w:rPr>
        <w:t>（十九）健全完善药品供应保障制度。</w:t>
      </w:r>
      <w:r>
        <w:rPr>
          <w:rFonts w:hint="eastAsia"/>
          <w:color w:val="231F20"/>
          <w:sz w:val="32"/>
          <w:szCs w:val="24"/>
        </w:rPr>
        <w:t>全面实施国家基本药物制度，坚持基本药物主导地位，督促各级医疗机构全面配备、优先使用国家基本药物。实施合理用药监测，定期公布监测情况。强化短缺药品供应保障和预警，完善药品采购配送及储备制度，建立健全药品应急供应机制。全面推进药品使用监测工作，建立以基本药物为重点的临床综合评价体系，指导临床安全合理用药。</w:t>
      </w:r>
    </w:p>
    <w:p>
      <w:pPr>
        <w:pStyle w:val="3"/>
        <w:kinsoku w:val="0"/>
        <w:overflowPunct w:val="0"/>
        <w:ind w:left="264"/>
        <w:rPr>
          <w:rFonts w:hint="eastAsia"/>
          <w:sz w:val="20"/>
          <w:szCs w:val="24"/>
        </w:rPr>
      </w:pPr>
      <w:r>
        <w:rPr>
          <w:rFonts w:hint="default"/>
          <w:sz w:val="20"/>
          <w:szCs w:val="24"/>
        </w:rPr>
        <mc:AlternateContent>
          <mc:Choice Requires="wpg">
            <w:drawing>
              <wp:inline distT="0" distB="0" distL="114300" distR="114300">
                <wp:extent cx="5608955" cy="4200525"/>
                <wp:effectExtent l="635" t="635" r="635" b="11430"/>
                <wp:docPr id="19" name="组合 15"/>
                <wp:cNvGraphicFramePr/>
                <a:graphic xmlns:a="http://schemas.openxmlformats.org/drawingml/2006/main">
                  <a:graphicData uri="http://schemas.microsoft.com/office/word/2010/wordprocessingGroup">
                    <wpg:wgp>
                      <wpg:cNvGrpSpPr/>
                      <wpg:grpSpPr>
                        <a:xfrm>
                          <a:off x="0" y="0"/>
                          <a:ext cx="5608955" cy="4200525"/>
                          <a:chOff x="0" y="0"/>
                          <a:chExt cx="8833" cy="6621"/>
                        </a:xfrm>
                      </wpg:grpSpPr>
                      <wps:wsp>
                        <wps:cNvPr id="14" name="任意多边形 16"/>
                        <wps:cNvSpPr/>
                        <wps:spPr>
                          <a:xfrm>
                            <a:off x="0" y="12"/>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15" name="任意多边形 17"/>
                        <wps:cNvSpPr/>
                        <wps:spPr>
                          <a:xfrm>
                            <a:off x="12" y="26"/>
                            <a:ext cx="20" cy="6563"/>
                          </a:xfrm>
                          <a:custGeom>
                            <a:avLst/>
                            <a:gdLst/>
                            <a:ahLst/>
                            <a:cxnLst/>
                            <a:pathLst>
                              <a:path w="20" h="6563">
                                <a:moveTo>
                                  <a:pt x="0" y="6562"/>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16" name="任意多边形 18"/>
                        <wps:cNvSpPr/>
                        <wps:spPr>
                          <a:xfrm>
                            <a:off x="8729" y="26"/>
                            <a:ext cx="20" cy="6563"/>
                          </a:xfrm>
                          <a:custGeom>
                            <a:avLst/>
                            <a:gdLst/>
                            <a:ahLst/>
                            <a:cxnLst/>
                            <a:pathLst>
                              <a:path w="20" h="6563">
                                <a:moveTo>
                                  <a:pt x="0" y="6562"/>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17" name="任意多边形 19"/>
                        <wps:cNvSpPr/>
                        <wps:spPr>
                          <a:xfrm>
                            <a:off x="0" y="6601"/>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18" name="文本框 20"/>
                        <wps:cNvSpPr txBox="true"/>
                        <wps:spPr>
                          <a:xfrm>
                            <a:off x="0" y="0"/>
                            <a:ext cx="8833" cy="6615"/>
                          </a:xfrm>
                          <a:prstGeom prst="rect">
                            <a:avLst/>
                          </a:prstGeom>
                          <a:noFill/>
                          <a:ln>
                            <a:noFill/>
                          </a:ln>
                        </wps:spPr>
                        <wps:txbx>
                          <w:txbxContent>
                            <w:p>
                              <w:pPr>
                                <w:pStyle w:val="3"/>
                                <w:kinsoku w:val="0"/>
                                <w:overflowPunct w:val="0"/>
                                <w:spacing w:before="60"/>
                                <w:ind w:left="1820"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4：深入推进医药卫生体制改革</w:t>
                              </w:r>
                            </w:p>
                            <w:p>
                              <w:pPr>
                                <w:pStyle w:val="3"/>
                                <w:numPr>
                                  <w:ilvl w:val="0"/>
                                  <w:numId w:val="4"/>
                                </w:numPr>
                                <w:tabs>
                                  <w:tab w:val="left" w:pos="1152"/>
                                </w:tabs>
                                <w:kinsoku w:val="0"/>
                                <w:overflowPunct w:val="0"/>
                                <w:spacing w:before="37" w:line="292" w:lineRule="auto"/>
                                <w:ind w:right="149" w:firstLine="680"/>
                                <w:jc w:val="both"/>
                                <w:rPr>
                                  <w:rFonts w:hint="eastAsia"/>
                                  <w:color w:val="231F20"/>
                                  <w:sz w:val="32"/>
                                  <w:szCs w:val="24"/>
                                </w:rPr>
                              </w:pPr>
                              <w:r>
                                <w:rPr>
                                  <w:rFonts w:hint="eastAsia"/>
                                  <w:color w:val="231F20"/>
                                  <w:spacing w:val="6"/>
                                  <w:sz w:val="32"/>
                                  <w:szCs w:val="24"/>
                                </w:rPr>
                                <w:t>建设高质量紧密型医联体，加大与省内外三级医院的</w:t>
                              </w:r>
                              <w:r>
                                <w:rPr>
                                  <w:rFonts w:hint="eastAsia"/>
                                  <w:color w:val="231F20"/>
                                  <w:spacing w:val="-52"/>
                                  <w:sz w:val="32"/>
                                  <w:szCs w:val="24"/>
                                </w:rPr>
                                <w:t>专科</w:t>
                              </w:r>
                              <w:r>
                                <w:rPr>
                                  <w:rFonts w:hint="eastAsia"/>
                                  <w:color w:val="231F20"/>
                                  <w:sz w:val="32"/>
                                  <w:szCs w:val="24"/>
                                </w:rPr>
                                <w:t>（技术</w:t>
                              </w:r>
                              <w:r>
                                <w:rPr>
                                  <w:rFonts w:hint="eastAsia"/>
                                  <w:color w:val="231F20"/>
                                  <w:spacing w:val="-104"/>
                                  <w:sz w:val="32"/>
                                  <w:szCs w:val="24"/>
                                </w:rPr>
                                <w:t>）</w:t>
                              </w:r>
                              <w:r>
                                <w:rPr>
                                  <w:rFonts w:hint="eastAsia"/>
                                  <w:color w:val="231F20"/>
                                  <w:spacing w:val="-7"/>
                                  <w:sz w:val="32"/>
                                  <w:szCs w:val="24"/>
                                </w:rPr>
                                <w:t>联盟合作力度，力争</w:t>
                              </w:r>
                              <w:r>
                                <w:rPr>
                                  <w:rFonts w:hint="eastAsia"/>
                                  <w:color w:val="231F20"/>
                                  <w:sz w:val="32"/>
                                  <w:szCs w:val="24"/>
                                </w:rPr>
                                <w:t>2025</w:t>
                              </w:r>
                              <w:r>
                                <w:rPr>
                                  <w:rFonts w:hint="eastAsia"/>
                                  <w:color w:val="231F20"/>
                                  <w:spacing w:val="-14"/>
                                  <w:sz w:val="32"/>
                                  <w:szCs w:val="24"/>
                                </w:rPr>
                                <w:t xml:space="preserve"> 年建设</w:t>
                              </w:r>
                              <w:r>
                                <w:rPr>
                                  <w:rFonts w:hint="eastAsia"/>
                                  <w:color w:val="231F20"/>
                                  <w:sz w:val="32"/>
                                  <w:szCs w:val="24"/>
                                </w:rPr>
                                <w:t>10-15</w:t>
                              </w:r>
                              <w:r>
                                <w:rPr>
                                  <w:rFonts w:hint="eastAsia"/>
                                  <w:color w:val="231F20"/>
                                  <w:spacing w:val="-53"/>
                                  <w:sz w:val="32"/>
                                  <w:szCs w:val="24"/>
                                </w:rPr>
                                <w:t xml:space="preserve"> 个专科</w:t>
                              </w:r>
                              <w:r>
                                <w:rPr>
                                  <w:rFonts w:hint="eastAsia"/>
                                  <w:color w:val="231F20"/>
                                  <w:sz w:val="32"/>
                                  <w:szCs w:val="24"/>
                                </w:rPr>
                                <w:t>（技术）联盟。</w:t>
                              </w:r>
                            </w:p>
                            <w:p>
                              <w:pPr>
                                <w:pStyle w:val="3"/>
                                <w:numPr>
                                  <w:ilvl w:val="0"/>
                                  <w:numId w:val="4"/>
                                </w:numPr>
                                <w:tabs>
                                  <w:tab w:val="left" w:pos="1153"/>
                                </w:tabs>
                                <w:kinsoku w:val="0"/>
                                <w:overflowPunct w:val="0"/>
                                <w:spacing w:line="292" w:lineRule="auto"/>
                                <w:ind w:firstLine="680"/>
                                <w:rPr>
                                  <w:rFonts w:hint="eastAsia"/>
                                  <w:color w:val="231F20"/>
                                  <w:sz w:val="32"/>
                                  <w:szCs w:val="24"/>
                                </w:rPr>
                              </w:pPr>
                              <w:r>
                                <w:rPr>
                                  <w:rFonts w:hint="eastAsia"/>
                                  <w:color w:val="231F20"/>
                                  <w:spacing w:val="5"/>
                                  <w:sz w:val="32"/>
                                  <w:szCs w:val="24"/>
                                </w:rPr>
                                <w:t xml:space="preserve">推进县域医共体建设，以新区第一人民医院为龙头， </w:t>
                              </w:r>
                              <w:r>
                                <w:rPr>
                                  <w:rFonts w:hint="eastAsia"/>
                                  <w:color w:val="231F20"/>
                                  <w:spacing w:val="-11"/>
                                  <w:sz w:val="32"/>
                                  <w:szCs w:val="24"/>
                                </w:rPr>
                                <w:t xml:space="preserve">实施提标扩能项目，建立管理、服务、责任、利益“四位一体” </w:t>
                              </w:r>
                              <w:r>
                                <w:rPr>
                                  <w:rFonts w:hint="eastAsia"/>
                                  <w:color w:val="231F20"/>
                                  <w:sz w:val="32"/>
                                  <w:szCs w:val="24"/>
                                </w:rPr>
                                <w:t>的紧密型县域医共体。</w:t>
                              </w:r>
                            </w:p>
                            <w:p>
                              <w:pPr>
                                <w:pStyle w:val="3"/>
                                <w:numPr>
                                  <w:ilvl w:val="0"/>
                                  <w:numId w:val="4"/>
                                </w:numPr>
                                <w:tabs>
                                  <w:tab w:val="left" w:pos="1140"/>
                                </w:tabs>
                                <w:kinsoku w:val="0"/>
                                <w:overflowPunct w:val="0"/>
                                <w:spacing w:line="292" w:lineRule="auto"/>
                                <w:ind w:right="145" w:firstLine="680"/>
                                <w:jc w:val="both"/>
                                <w:rPr>
                                  <w:rFonts w:hint="eastAsia"/>
                                  <w:color w:val="231F20"/>
                                  <w:spacing w:val="-13"/>
                                  <w:sz w:val="32"/>
                                  <w:szCs w:val="24"/>
                                </w:rPr>
                              </w:pPr>
                              <w:r>
                                <w:rPr>
                                  <w:rFonts w:hint="eastAsia"/>
                                  <w:color w:val="231F20"/>
                                  <w:spacing w:val="-13"/>
                                  <w:sz w:val="32"/>
                                  <w:szCs w:val="24"/>
                                </w:rPr>
                                <w:t xml:space="preserve">推进急危重症 </w:t>
                              </w:r>
                              <w:r>
                                <w:rPr>
                                  <w:rFonts w:hint="eastAsia"/>
                                  <w:color w:val="231F20"/>
                                  <w:sz w:val="32"/>
                                  <w:szCs w:val="24"/>
                                </w:rPr>
                                <w:t>5</w:t>
                              </w:r>
                              <w:r>
                                <w:rPr>
                                  <w:rFonts w:hint="eastAsia"/>
                                  <w:color w:val="231F20"/>
                                  <w:spacing w:val="-17"/>
                                  <w:sz w:val="32"/>
                                  <w:szCs w:val="24"/>
                                </w:rPr>
                                <w:t xml:space="preserve"> 大救治中心建设，胸痛、创伤、卒中、</w:t>
                              </w:r>
                              <w:r>
                                <w:rPr>
                                  <w:rFonts w:hint="eastAsia"/>
                                  <w:color w:val="231F20"/>
                                  <w:spacing w:val="3"/>
                                  <w:sz w:val="32"/>
                                  <w:szCs w:val="24"/>
                                </w:rPr>
                                <w:t xml:space="preserve">孕产妇、新生儿救治中心实现区域全覆盖；至少有 </w:t>
                              </w:r>
                              <w:r>
                                <w:rPr>
                                  <w:rFonts w:hint="eastAsia"/>
                                  <w:color w:val="231F20"/>
                                  <w:sz w:val="32"/>
                                  <w:szCs w:val="24"/>
                                </w:rPr>
                                <w:t>1</w:t>
                              </w:r>
                              <w:r>
                                <w:rPr>
                                  <w:rFonts w:hint="eastAsia"/>
                                  <w:color w:val="231F20"/>
                                  <w:spacing w:val="-13"/>
                                  <w:sz w:val="32"/>
                                  <w:szCs w:val="24"/>
                                </w:rPr>
                                <w:t xml:space="preserve"> 家市级医院建成胸痛中心，县级医院建成基层版胸痛中心。</w:t>
                              </w:r>
                            </w:p>
                            <w:p>
                              <w:pPr>
                                <w:pStyle w:val="3"/>
                                <w:numPr>
                                  <w:ilvl w:val="0"/>
                                  <w:numId w:val="4"/>
                                </w:numPr>
                                <w:tabs>
                                  <w:tab w:val="left" w:pos="1153"/>
                                </w:tabs>
                                <w:kinsoku w:val="0"/>
                                <w:overflowPunct w:val="0"/>
                                <w:spacing w:line="292" w:lineRule="auto"/>
                                <w:ind w:right="150" w:firstLine="680"/>
                                <w:jc w:val="both"/>
                                <w:rPr>
                                  <w:rFonts w:hint="eastAsia"/>
                                  <w:color w:val="231F20"/>
                                  <w:sz w:val="32"/>
                                  <w:szCs w:val="24"/>
                                </w:rPr>
                              </w:pPr>
                              <w:r>
                                <w:rPr>
                                  <w:rFonts w:hint="eastAsia"/>
                                  <w:color w:val="231F20"/>
                                  <w:spacing w:val="-1"/>
                                  <w:sz w:val="32"/>
                                  <w:szCs w:val="24"/>
                                </w:rPr>
                                <w:t xml:space="preserve">推动县域检验、心电、影像、病理、消毒供应 </w:t>
                              </w:r>
                              <w:r>
                                <w:rPr>
                                  <w:rFonts w:hint="eastAsia"/>
                                  <w:color w:val="231F20"/>
                                  <w:sz w:val="32"/>
                                  <w:szCs w:val="24"/>
                                </w:rPr>
                                <w:t>5</w:t>
                              </w:r>
                              <w:r>
                                <w:rPr>
                                  <w:rFonts w:hint="eastAsia"/>
                                  <w:color w:val="231F20"/>
                                  <w:spacing w:val="-24"/>
                                  <w:sz w:val="32"/>
                                  <w:szCs w:val="24"/>
                                </w:rPr>
                                <w:t xml:space="preserve"> 个医</w:t>
                              </w:r>
                              <w:r>
                                <w:rPr>
                                  <w:rFonts w:hint="eastAsia"/>
                                  <w:color w:val="231F20"/>
                                  <w:spacing w:val="-3"/>
                                  <w:sz w:val="32"/>
                                  <w:szCs w:val="24"/>
                                </w:rPr>
                                <w:t xml:space="preserve">学中心建设，县域检验、心电、影像中心使用覆盖率达到 </w:t>
                              </w:r>
                              <w:r>
                                <w:rPr>
                                  <w:rFonts w:hint="eastAsia"/>
                                  <w:color w:val="231F20"/>
                                  <w:sz w:val="32"/>
                                  <w:szCs w:val="24"/>
                                </w:rPr>
                                <w:t>90% 以上。</w:t>
                              </w:r>
                            </w:p>
                          </w:txbxContent>
                        </wps:txbx>
                        <wps:bodyPr vert="horz" wrap="square" lIns="0" tIns="0" rIns="0" bIns="0" upright="true"/>
                      </wps:wsp>
                    </wpg:wgp>
                  </a:graphicData>
                </a:graphic>
              </wp:inline>
            </w:drawing>
          </mc:Choice>
          <mc:Fallback>
            <w:pict>
              <v:group id="组合 15" o:spid="_x0000_s1026" o:spt="203" style="height:330.75pt;width:441.65pt;" coordsize="8833,6621" o:gfxdata="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FgAAAGRycy9QSwECFAAUAAAACACHTuJAchwsVdYAAAAF&#10;AQAADwAAAAAAAAABACAAAAA4AAAAZHJzL2Rvd25yZXYueG1sUEsBAhQAFAAAAAgAh07iQB1+yNaX&#10;AwAAbA8AAA4AAAAAAAAAAQAgAAAAOwEAAGRycy9lMm9Eb2MueG1sUEsFBgAAAAAGAAYAWQEAAEQH&#10;AAAAAA==&#10;">
                <o:lock v:ext="edit" aspectratio="f"/>
                <v:shape id="任意多边形 16" o:spid="_x0000_s1026" o:spt="100" style="position:absolute;left:0;top:12;height:20;width:8743;" filled="f" stroked="t" coordsize="8743,20" o:gfxdata="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sNRMy7AAAA2wAAAA8AAAAAAAAAAQAgAAAAOAAAAGRycy9kb3ducmV2Lnht&#10;bFBLAQIUABQAAAAIAIdO4kAzLwWeOwAAADkAAAAQAAAAAAAAAAEAIAAAACABAABkcnMvc2hhcGV4&#10;bWwueG1sUEsFBgAAAAAGAAYAWwEAAMoDAAAAAA==&#10;" path="m0,0l8742,0e">
                  <v:fill on="f" focussize="0,0"/>
                  <v:stroke weight="1.3pt" color="#231F20" joinstyle="round"/>
                  <v:imagedata o:title=""/>
                  <o:lock v:ext="edit" aspectratio="f"/>
                </v:shape>
                <v:shape id="任意多边形 17" o:spid="_x0000_s1026" o:spt="100" style="position:absolute;left:12;top:26;height:6563;width:20;" filled="f" stroked="t" coordsize="20,6563" o:gfxdata="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XEH7K7AAAA2wAAAA8AAAAAAAAAAQAgAAAAOAAAAGRycy9kb3ducmV2Lnht&#10;bFBLAQIUABQAAAAIAIdO4kAzLwWeOwAAADkAAAAQAAAAAAAAAAEAIAAAACABAABkcnMvc2hhcGV4&#10;bWwueG1sUEsFBgAAAAAGAAYAWwEAAMoDAAAAAA==&#10;" path="m0,6562l0,0e">
                  <v:fill on="f" focussize="0,0"/>
                  <v:stroke weight="1.3pt" color="#231F20" joinstyle="round"/>
                  <v:imagedata o:title=""/>
                  <o:lock v:ext="edit" aspectratio="f"/>
                </v:shape>
                <v:shape id="任意多边形 18" o:spid="_x0000_s1026" o:spt="100" style="position:absolute;left:8729;top:26;height:6563;width:20;" filled="f" stroked="t" coordsize="20,6563" o:gfxdata="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FoHFvAAAANsAAAAPAAAAAAAAAAEAIAAAADgAAABkcnMvZG93bnJldi54&#10;bWxQSwECFAAUAAAACACHTuJAMy8FnjsAAAA5AAAAEAAAAAAAAAABACAAAAAhAQAAZHJzL3NoYXBl&#10;eG1sLnhtbFBLBQYAAAAABgAGAFsBAADLAwAAAAA=&#10;" path="m0,6562l0,0e">
                  <v:fill on="f" focussize="0,0"/>
                  <v:stroke weight="1.3pt" color="#231F20" joinstyle="round"/>
                  <v:imagedata o:title=""/>
                  <o:lock v:ext="edit" aspectratio="f"/>
                </v:shape>
                <v:shape id="任意多边形 19" o:spid="_x0000_s1026" o:spt="100" style="position:absolute;left:0;top:6601;height:20;width:8743;" filled="f" stroked="t" coordsize="8743,20" o:gfxdata="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vf2ru7AAAA2wAAAA8AAAAAAAAAAQAgAAAAOAAAAGRycy9kb3ducmV2Lnht&#10;bFBLAQIUABQAAAAIAIdO4kAzLwWeOwAAADkAAAAQAAAAAAAAAAEAIAAAACABAABkcnMvc2hhcGV4&#10;bWwueG1sUEsFBgAAAAAGAAYAWwEAAMoDAAAAAA==&#10;" path="m0,0l8742,0e">
                  <v:fill on="f" focussize="0,0"/>
                  <v:stroke weight="1.3pt" color="#231F20" joinstyle="round"/>
                  <v:imagedata o:title=""/>
                  <o:lock v:ext="edit" aspectratio="f"/>
                </v:shape>
                <v:shape id="文本框 20" o:spid="_x0000_s1026" o:spt="202" type="#_x0000_t202" style="position:absolute;left:0;top:0;height:6615;width:8833;" filled="f" stroked="f" coordsize="21600,21600" o:gfxdata="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R8/b6+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pStyle w:val="3"/>
                          <w:kinsoku w:val="0"/>
                          <w:overflowPunct w:val="0"/>
                          <w:spacing w:before="60"/>
                          <w:ind w:left="1820"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4：深入推进医药卫生体制改革</w:t>
                        </w:r>
                      </w:p>
                      <w:p>
                        <w:pPr>
                          <w:pStyle w:val="3"/>
                          <w:numPr>
                            <w:ilvl w:val="0"/>
                            <w:numId w:val="4"/>
                          </w:numPr>
                          <w:tabs>
                            <w:tab w:val="left" w:pos="1152"/>
                          </w:tabs>
                          <w:kinsoku w:val="0"/>
                          <w:overflowPunct w:val="0"/>
                          <w:spacing w:before="37" w:line="292" w:lineRule="auto"/>
                          <w:ind w:right="149" w:firstLine="680"/>
                          <w:jc w:val="both"/>
                          <w:rPr>
                            <w:rFonts w:hint="eastAsia"/>
                            <w:color w:val="231F20"/>
                            <w:sz w:val="32"/>
                            <w:szCs w:val="24"/>
                          </w:rPr>
                        </w:pPr>
                        <w:r>
                          <w:rPr>
                            <w:rFonts w:hint="eastAsia"/>
                            <w:color w:val="231F20"/>
                            <w:spacing w:val="6"/>
                            <w:sz w:val="32"/>
                            <w:szCs w:val="24"/>
                          </w:rPr>
                          <w:t>建设高质量紧密型医联体，加大与省内外三级医院的</w:t>
                        </w:r>
                        <w:r>
                          <w:rPr>
                            <w:rFonts w:hint="eastAsia"/>
                            <w:color w:val="231F20"/>
                            <w:spacing w:val="-52"/>
                            <w:sz w:val="32"/>
                            <w:szCs w:val="24"/>
                          </w:rPr>
                          <w:t>专科</w:t>
                        </w:r>
                        <w:r>
                          <w:rPr>
                            <w:rFonts w:hint="eastAsia"/>
                            <w:color w:val="231F20"/>
                            <w:sz w:val="32"/>
                            <w:szCs w:val="24"/>
                          </w:rPr>
                          <w:t>（技术</w:t>
                        </w:r>
                        <w:r>
                          <w:rPr>
                            <w:rFonts w:hint="eastAsia"/>
                            <w:color w:val="231F20"/>
                            <w:spacing w:val="-104"/>
                            <w:sz w:val="32"/>
                            <w:szCs w:val="24"/>
                          </w:rPr>
                          <w:t>）</w:t>
                        </w:r>
                        <w:r>
                          <w:rPr>
                            <w:rFonts w:hint="eastAsia"/>
                            <w:color w:val="231F20"/>
                            <w:spacing w:val="-7"/>
                            <w:sz w:val="32"/>
                            <w:szCs w:val="24"/>
                          </w:rPr>
                          <w:t>联盟合作力度，力争</w:t>
                        </w:r>
                        <w:r>
                          <w:rPr>
                            <w:rFonts w:hint="eastAsia"/>
                            <w:color w:val="231F20"/>
                            <w:sz w:val="32"/>
                            <w:szCs w:val="24"/>
                          </w:rPr>
                          <w:t>2025</w:t>
                        </w:r>
                        <w:r>
                          <w:rPr>
                            <w:rFonts w:hint="eastAsia"/>
                            <w:color w:val="231F20"/>
                            <w:spacing w:val="-14"/>
                            <w:sz w:val="32"/>
                            <w:szCs w:val="24"/>
                          </w:rPr>
                          <w:t xml:space="preserve"> 年建设</w:t>
                        </w:r>
                        <w:r>
                          <w:rPr>
                            <w:rFonts w:hint="eastAsia"/>
                            <w:color w:val="231F20"/>
                            <w:sz w:val="32"/>
                            <w:szCs w:val="24"/>
                          </w:rPr>
                          <w:t>10-15</w:t>
                        </w:r>
                        <w:r>
                          <w:rPr>
                            <w:rFonts w:hint="eastAsia"/>
                            <w:color w:val="231F20"/>
                            <w:spacing w:val="-53"/>
                            <w:sz w:val="32"/>
                            <w:szCs w:val="24"/>
                          </w:rPr>
                          <w:t xml:space="preserve"> 个专科</w:t>
                        </w:r>
                        <w:r>
                          <w:rPr>
                            <w:rFonts w:hint="eastAsia"/>
                            <w:color w:val="231F20"/>
                            <w:sz w:val="32"/>
                            <w:szCs w:val="24"/>
                          </w:rPr>
                          <w:t>（技术）联盟。</w:t>
                        </w:r>
                      </w:p>
                      <w:p>
                        <w:pPr>
                          <w:pStyle w:val="3"/>
                          <w:numPr>
                            <w:ilvl w:val="0"/>
                            <w:numId w:val="4"/>
                          </w:numPr>
                          <w:tabs>
                            <w:tab w:val="left" w:pos="1153"/>
                          </w:tabs>
                          <w:kinsoku w:val="0"/>
                          <w:overflowPunct w:val="0"/>
                          <w:spacing w:line="292" w:lineRule="auto"/>
                          <w:ind w:firstLine="680"/>
                          <w:rPr>
                            <w:rFonts w:hint="eastAsia"/>
                            <w:color w:val="231F20"/>
                            <w:sz w:val="32"/>
                            <w:szCs w:val="24"/>
                          </w:rPr>
                        </w:pPr>
                        <w:r>
                          <w:rPr>
                            <w:rFonts w:hint="eastAsia"/>
                            <w:color w:val="231F20"/>
                            <w:spacing w:val="5"/>
                            <w:sz w:val="32"/>
                            <w:szCs w:val="24"/>
                          </w:rPr>
                          <w:t xml:space="preserve">推进县域医共体建设，以新区第一人民医院为龙头， </w:t>
                        </w:r>
                        <w:r>
                          <w:rPr>
                            <w:rFonts w:hint="eastAsia"/>
                            <w:color w:val="231F20"/>
                            <w:spacing w:val="-11"/>
                            <w:sz w:val="32"/>
                            <w:szCs w:val="24"/>
                          </w:rPr>
                          <w:t xml:space="preserve">实施提标扩能项目，建立管理、服务、责任、利益“四位一体” </w:t>
                        </w:r>
                        <w:r>
                          <w:rPr>
                            <w:rFonts w:hint="eastAsia"/>
                            <w:color w:val="231F20"/>
                            <w:sz w:val="32"/>
                            <w:szCs w:val="24"/>
                          </w:rPr>
                          <w:t>的紧密型县域医共体。</w:t>
                        </w:r>
                      </w:p>
                      <w:p>
                        <w:pPr>
                          <w:pStyle w:val="3"/>
                          <w:numPr>
                            <w:ilvl w:val="0"/>
                            <w:numId w:val="4"/>
                          </w:numPr>
                          <w:tabs>
                            <w:tab w:val="left" w:pos="1140"/>
                          </w:tabs>
                          <w:kinsoku w:val="0"/>
                          <w:overflowPunct w:val="0"/>
                          <w:spacing w:line="292" w:lineRule="auto"/>
                          <w:ind w:right="145" w:firstLine="680"/>
                          <w:jc w:val="both"/>
                          <w:rPr>
                            <w:rFonts w:hint="eastAsia"/>
                            <w:color w:val="231F20"/>
                            <w:spacing w:val="-13"/>
                            <w:sz w:val="32"/>
                            <w:szCs w:val="24"/>
                          </w:rPr>
                        </w:pPr>
                        <w:r>
                          <w:rPr>
                            <w:rFonts w:hint="eastAsia"/>
                            <w:color w:val="231F20"/>
                            <w:spacing w:val="-13"/>
                            <w:sz w:val="32"/>
                            <w:szCs w:val="24"/>
                          </w:rPr>
                          <w:t xml:space="preserve">推进急危重症 </w:t>
                        </w:r>
                        <w:r>
                          <w:rPr>
                            <w:rFonts w:hint="eastAsia"/>
                            <w:color w:val="231F20"/>
                            <w:sz w:val="32"/>
                            <w:szCs w:val="24"/>
                          </w:rPr>
                          <w:t>5</w:t>
                        </w:r>
                        <w:r>
                          <w:rPr>
                            <w:rFonts w:hint="eastAsia"/>
                            <w:color w:val="231F20"/>
                            <w:spacing w:val="-17"/>
                            <w:sz w:val="32"/>
                            <w:szCs w:val="24"/>
                          </w:rPr>
                          <w:t xml:space="preserve"> 大救治中心建设，胸痛、创伤、卒中、</w:t>
                        </w:r>
                        <w:r>
                          <w:rPr>
                            <w:rFonts w:hint="eastAsia"/>
                            <w:color w:val="231F20"/>
                            <w:spacing w:val="3"/>
                            <w:sz w:val="32"/>
                            <w:szCs w:val="24"/>
                          </w:rPr>
                          <w:t xml:space="preserve">孕产妇、新生儿救治中心实现区域全覆盖；至少有 </w:t>
                        </w:r>
                        <w:r>
                          <w:rPr>
                            <w:rFonts w:hint="eastAsia"/>
                            <w:color w:val="231F20"/>
                            <w:sz w:val="32"/>
                            <w:szCs w:val="24"/>
                          </w:rPr>
                          <w:t>1</w:t>
                        </w:r>
                        <w:r>
                          <w:rPr>
                            <w:rFonts w:hint="eastAsia"/>
                            <w:color w:val="231F20"/>
                            <w:spacing w:val="-13"/>
                            <w:sz w:val="32"/>
                            <w:szCs w:val="24"/>
                          </w:rPr>
                          <w:t xml:space="preserve"> 家市级医院建成胸痛中心，县级医院建成基层版胸痛中心。</w:t>
                        </w:r>
                      </w:p>
                      <w:p>
                        <w:pPr>
                          <w:pStyle w:val="3"/>
                          <w:numPr>
                            <w:ilvl w:val="0"/>
                            <w:numId w:val="4"/>
                          </w:numPr>
                          <w:tabs>
                            <w:tab w:val="left" w:pos="1153"/>
                          </w:tabs>
                          <w:kinsoku w:val="0"/>
                          <w:overflowPunct w:val="0"/>
                          <w:spacing w:line="292" w:lineRule="auto"/>
                          <w:ind w:right="150" w:firstLine="680"/>
                          <w:jc w:val="both"/>
                          <w:rPr>
                            <w:rFonts w:hint="eastAsia"/>
                            <w:color w:val="231F20"/>
                            <w:sz w:val="32"/>
                            <w:szCs w:val="24"/>
                          </w:rPr>
                        </w:pPr>
                        <w:r>
                          <w:rPr>
                            <w:rFonts w:hint="eastAsia"/>
                            <w:color w:val="231F20"/>
                            <w:spacing w:val="-1"/>
                            <w:sz w:val="32"/>
                            <w:szCs w:val="24"/>
                          </w:rPr>
                          <w:t xml:space="preserve">推动县域检验、心电、影像、病理、消毒供应 </w:t>
                        </w:r>
                        <w:r>
                          <w:rPr>
                            <w:rFonts w:hint="eastAsia"/>
                            <w:color w:val="231F20"/>
                            <w:sz w:val="32"/>
                            <w:szCs w:val="24"/>
                          </w:rPr>
                          <w:t>5</w:t>
                        </w:r>
                        <w:r>
                          <w:rPr>
                            <w:rFonts w:hint="eastAsia"/>
                            <w:color w:val="231F20"/>
                            <w:spacing w:val="-24"/>
                            <w:sz w:val="32"/>
                            <w:szCs w:val="24"/>
                          </w:rPr>
                          <w:t xml:space="preserve"> 个医</w:t>
                        </w:r>
                        <w:r>
                          <w:rPr>
                            <w:rFonts w:hint="eastAsia"/>
                            <w:color w:val="231F20"/>
                            <w:spacing w:val="-3"/>
                            <w:sz w:val="32"/>
                            <w:szCs w:val="24"/>
                          </w:rPr>
                          <w:t xml:space="preserve">学中心建设，县域检验、心电、影像中心使用覆盖率达到 </w:t>
                        </w:r>
                        <w:r>
                          <w:rPr>
                            <w:rFonts w:hint="eastAsia"/>
                            <w:color w:val="231F20"/>
                            <w:sz w:val="32"/>
                            <w:szCs w:val="24"/>
                          </w:rPr>
                          <w:t>90% 以上。</w:t>
                        </w:r>
                      </w:p>
                    </w:txbxContent>
                  </v:textbox>
                </v:shape>
                <w10:wrap type="none"/>
                <w10:anchorlock/>
              </v:group>
            </w:pict>
          </mc:Fallback>
        </mc:AlternateContent>
      </w:r>
    </w:p>
    <w:p>
      <w:pPr>
        <w:pStyle w:val="3"/>
        <w:kinsoku w:val="0"/>
        <w:overflowPunct w:val="0"/>
        <w:spacing w:before="29"/>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五、促进“一老一少”与人口高质量发展</w:t>
      </w:r>
    </w:p>
    <w:p>
      <w:pPr>
        <w:pStyle w:val="3"/>
        <w:kinsoku w:val="0"/>
        <w:overflowPunct w:val="0"/>
        <w:spacing w:before="29"/>
        <w:ind w:left="957"/>
        <w:rPr>
          <w:rFonts w:hint="default" w:ascii="方正黑体简体" w:hAnsi="方正黑体简体" w:eastAsia="方正黑体简体"/>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9"/>
        <w:ind w:left="0"/>
        <w:rPr>
          <w:rFonts w:hint="default" w:ascii="方正黑体简体" w:hAnsi="方正黑体简体" w:eastAsia="方正黑体简体"/>
          <w:sz w:val="15"/>
          <w:szCs w:val="24"/>
        </w:rPr>
      </w:pPr>
    </w:p>
    <w:p>
      <w:pPr>
        <w:pStyle w:val="3"/>
        <w:kinsoku w:val="0"/>
        <w:overflowPunct w:val="0"/>
        <w:spacing w:before="55" w:line="328" w:lineRule="auto"/>
        <w:ind w:right="115" w:firstLine="680"/>
        <w:rPr>
          <w:rFonts w:hint="eastAsia"/>
          <w:color w:val="231F20"/>
          <w:sz w:val="32"/>
          <w:szCs w:val="24"/>
        </w:rPr>
      </w:pPr>
      <w:r>
        <w:rPr>
          <w:rFonts w:hint="default" w:ascii="楷体_GB2312" w:hAnsi="楷体_GB2312" w:eastAsia="楷体_GB2312"/>
          <w:color w:val="231F20"/>
          <w:sz w:val="32"/>
          <w:szCs w:val="24"/>
        </w:rPr>
        <w:t>（二十</w:t>
      </w:r>
      <w:r>
        <w:rPr>
          <w:rFonts w:hint="default" w:ascii="楷体_GB2312" w:hAnsi="楷体_GB2312" w:eastAsia="楷体_GB2312"/>
          <w:color w:val="231F20"/>
          <w:spacing w:val="-55"/>
          <w:sz w:val="32"/>
          <w:szCs w:val="24"/>
        </w:rPr>
        <w:t>）</w:t>
      </w:r>
      <w:r>
        <w:rPr>
          <w:rFonts w:hint="default" w:ascii="楷体_GB2312" w:hAnsi="楷体_GB2312" w:eastAsia="楷体_GB2312"/>
          <w:color w:val="231F20"/>
          <w:spacing w:val="-5"/>
          <w:sz w:val="32"/>
          <w:szCs w:val="24"/>
        </w:rPr>
        <w:t>提升妇幼保健服务能力。</w:t>
      </w:r>
      <w:r>
        <w:rPr>
          <w:rFonts w:hint="eastAsia"/>
          <w:color w:val="231F20"/>
          <w:spacing w:val="-2"/>
          <w:sz w:val="32"/>
          <w:szCs w:val="24"/>
        </w:rPr>
        <w:t xml:space="preserve">优化妇幼健康服务模式， </w:t>
      </w:r>
      <w:r>
        <w:rPr>
          <w:rFonts w:hint="eastAsia"/>
          <w:color w:val="231F20"/>
          <w:spacing w:val="1"/>
          <w:sz w:val="32"/>
          <w:szCs w:val="24"/>
        </w:rPr>
        <w:t>建成新区妇幼保健院。加强健康教育，努力创新生育全程服务</w:t>
      </w:r>
      <w:r>
        <w:rPr>
          <w:rFonts w:hint="eastAsia"/>
          <w:color w:val="231F20"/>
          <w:sz w:val="32"/>
          <w:szCs w:val="24"/>
        </w:rPr>
        <w:t>模式，为妇女儿童提供全周期全方位健康服务。按照保健与临床相结合原则，优化整合服务流程和服务内容。大力推进妇幼保健学科建设，围绕妇幼健康需求，延长拓宽妇幼健康服务链条，提供安全、便捷、温馨、优质的妇幼健康特色服务，提升就诊体验和满意度。改善妇幼健康服务环境，做到布局合理、流程科学、安全卫生。根据孕妇、母婴、儿童等特殊需要，鼓</w:t>
      </w:r>
      <w:r>
        <w:rPr>
          <w:rFonts w:hint="eastAsia"/>
          <w:color w:val="231F20"/>
          <w:spacing w:val="-7"/>
          <w:sz w:val="32"/>
          <w:szCs w:val="24"/>
        </w:rPr>
        <w:t>励设置孕妇休息设施、哺乳室、儿童活动区等，提供专用电梯、</w:t>
      </w:r>
      <w:r>
        <w:rPr>
          <w:rFonts w:hint="eastAsia"/>
          <w:color w:val="231F20"/>
          <w:spacing w:val="-8"/>
          <w:sz w:val="32"/>
          <w:szCs w:val="24"/>
        </w:rPr>
        <w:t>便捷停车等服务。加快发展“互联网 + 妇幼健康”，推动智慧</w:t>
      </w:r>
      <w:r>
        <w:rPr>
          <w:rFonts w:hint="eastAsia"/>
          <w:color w:val="231F20"/>
          <w:sz w:val="32"/>
          <w:szCs w:val="24"/>
        </w:rPr>
        <w:t>医疗机构建设，使就诊流程更便捷、服务流程更高效。完善覆盖城乡儿童的基本医疗卫生体系，提高儿童身心健康水平。严重多发致残的出生缺陷发生率逐步下降，减少出生缺陷所致残</w:t>
      </w:r>
      <w:r>
        <w:rPr>
          <w:rFonts w:hint="eastAsia"/>
          <w:color w:val="231F20"/>
          <w:spacing w:val="-8"/>
          <w:sz w:val="32"/>
          <w:szCs w:val="24"/>
        </w:rPr>
        <w:t xml:space="preserve">疾。婴儿和 </w:t>
      </w:r>
      <w:r>
        <w:rPr>
          <w:rFonts w:hint="eastAsia"/>
          <w:color w:val="231F20"/>
          <w:sz w:val="32"/>
          <w:szCs w:val="24"/>
        </w:rPr>
        <w:t>5</w:t>
      </w:r>
      <w:r>
        <w:rPr>
          <w:rFonts w:hint="eastAsia"/>
          <w:color w:val="231F20"/>
          <w:spacing w:val="-6"/>
          <w:sz w:val="32"/>
          <w:szCs w:val="24"/>
        </w:rPr>
        <w:t xml:space="preserve"> 岁以下儿童死亡率分别控制在 </w:t>
      </w:r>
      <w:r>
        <w:rPr>
          <w:rFonts w:hint="eastAsia"/>
          <w:color w:val="231F20"/>
          <w:spacing w:val="11"/>
          <w:sz w:val="32"/>
          <w:szCs w:val="24"/>
        </w:rPr>
        <w:t>6‰</w:t>
      </w:r>
      <w:r>
        <w:rPr>
          <w:rFonts w:hint="eastAsia"/>
          <w:color w:val="231F20"/>
          <w:spacing w:val="-39"/>
          <w:sz w:val="32"/>
          <w:szCs w:val="24"/>
        </w:rPr>
        <w:t xml:space="preserve">和 </w:t>
      </w:r>
      <w:r>
        <w:rPr>
          <w:rFonts w:hint="eastAsia"/>
          <w:color w:val="231F20"/>
          <w:spacing w:val="11"/>
          <w:sz w:val="32"/>
          <w:szCs w:val="24"/>
        </w:rPr>
        <w:t>8‰</w:t>
      </w:r>
      <w:r>
        <w:rPr>
          <w:rFonts w:hint="eastAsia"/>
          <w:color w:val="231F20"/>
          <w:spacing w:val="3"/>
          <w:sz w:val="32"/>
          <w:szCs w:val="24"/>
        </w:rPr>
        <w:t>以下。</w:t>
      </w:r>
      <w:r>
        <w:rPr>
          <w:rFonts w:hint="eastAsia"/>
          <w:color w:val="231F20"/>
          <w:sz w:val="32"/>
          <w:szCs w:val="24"/>
        </w:rPr>
        <w:t>控制儿童常见疾病和艾滋病、梅毒、结核病、乙肝等重大传染性疾病。0—6</w:t>
      </w:r>
      <w:r>
        <w:rPr>
          <w:rFonts w:hint="eastAsia"/>
          <w:color w:val="231F20"/>
          <w:spacing w:val="-15"/>
          <w:sz w:val="32"/>
          <w:szCs w:val="24"/>
        </w:rPr>
        <w:t xml:space="preserve"> 个月婴儿纯母乳喂养率达到 </w:t>
      </w:r>
      <w:r>
        <w:rPr>
          <w:rFonts w:hint="eastAsia"/>
          <w:color w:val="231F20"/>
          <w:sz w:val="32"/>
          <w:szCs w:val="24"/>
        </w:rPr>
        <w:t>75%</w:t>
      </w:r>
      <w:r>
        <w:rPr>
          <w:rFonts w:hint="eastAsia"/>
          <w:color w:val="231F20"/>
          <w:spacing w:val="-12"/>
          <w:sz w:val="32"/>
          <w:szCs w:val="24"/>
        </w:rPr>
        <w:t xml:space="preserve"> 以上。控制中小</w:t>
      </w:r>
      <w:r>
        <w:rPr>
          <w:rFonts w:hint="eastAsia"/>
          <w:color w:val="231F20"/>
          <w:spacing w:val="-6"/>
          <w:sz w:val="32"/>
          <w:szCs w:val="24"/>
        </w:rPr>
        <w:t xml:space="preserve">学生视力不良、龋齿、超重 </w:t>
      </w:r>
      <w:r>
        <w:rPr>
          <w:rFonts w:hint="eastAsia"/>
          <w:color w:val="231F20"/>
          <w:sz w:val="32"/>
          <w:szCs w:val="24"/>
        </w:rPr>
        <w:t>/</w:t>
      </w:r>
      <w:r>
        <w:rPr>
          <w:rFonts w:hint="eastAsia"/>
          <w:color w:val="231F20"/>
          <w:spacing w:val="-7"/>
          <w:sz w:val="32"/>
          <w:szCs w:val="24"/>
        </w:rPr>
        <w:t xml:space="preserve"> 肥胖、营养不良发生率。降低儿</w:t>
      </w:r>
      <w:r>
        <w:rPr>
          <w:rFonts w:hint="eastAsia"/>
          <w:color w:val="231F20"/>
          <w:spacing w:val="2"/>
          <w:sz w:val="32"/>
          <w:szCs w:val="24"/>
        </w:rPr>
        <w:t>童心理行为问题发生率和儿童精神疾病患病率，提高适龄儿童</w:t>
      </w:r>
      <w:r>
        <w:rPr>
          <w:rFonts w:hint="eastAsia"/>
          <w:color w:val="231F20"/>
          <w:sz w:val="32"/>
          <w:szCs w:val="24"/>
        </w:rPr>
        <w:t>性与生殖健康知识普及率。</w:t>
      </w:r>
    </w:p>
    <w:p>
      <w:pPr>
        <w:pStyle w:val="3"/>
        <w:kinsoku w:val="0"/>
        <w:overflowPunct w:val="0"/>
        <w:spacing w:line="378" w:lineRule="exact"/>
        <w:ind w:left="957"/>
        <w:rPr>
          <w:rFonts w:hint="eastAsia"/>
          <w:color w:val="231F20"/>
          <w:sz w:val="32"/>
          <w:szCs w:val="24"/>
        </w:rPr>
      </w:pPr>
      <w:r>
        <w:rPr>
          <w:rFonts w:hint="default" w:ascii="楷体_GB2312" w:hAnsi="楷体_GB2312" w:eastAsia="楷体_GB2312"/>
          <w:color w:val="231F20"/>
          <w:sz w:val="32"/>
          <w:szCs w:val="24"/>
        </w:rPr>
        <w:t>（二十一）健全完善人口监测制度体系。</w:t>
      </w:r>
      <w:r>
        <w:rPr>
          <w:rFonts w:hint="eastAsia"/>
          <w:color w:val="231F20"/>
          <w:sz w:val="32"/>
          <w:szCs w:val="24"/>
        </w:rPr>
        <w:t>健全人口动态监</w:t>
      </w:r>
    </w:p>
    <w:p>
      <w:pPr>
        <w:pStyle w:val="3"/>
        <w:kinsoku w:val="0"/>
        <w:overflowPunct w:val="0"/>
        <w:spacing w:before="150" w:line="328" w:lineRule="auto"/>
        <w:ind w:right="115"/>
        <w:rPr>
          <w:rFonts w:hint="eastAsia"/>
          <w:color w:val="231F20"/>
          <w:spacing w:val="2"/>
          <w:sz w:val="32"/>
          <w:szCs w:val="24"/>
        </w:rPr>
      </w:pPr>
      <w:r>
        <w:rPr>
          <w:rFonts w:hint="eastAsia"/>
          <w:color w:val="231F20"/>
          <w:spacing w:val="-23"/>
          <w:sz w:val="32"/>
          <w:szCs w:val="24"/>
        </w:rPr>
        <w:t>测、研判和预警机制，加强部门之间在户籍、婚姻、出生、死亡、</w:t>
      </w:r>
      <w:r>
        <w:rPr>
          <w:rFonts w:hint="eastAsia"/>
          <w:color w:val="231F20"/>
          <w:sz w:val="32"/>
          <w:szCs w:val="24"/>
        </w:rPr>
        <w:t>迁移等领域数据的互联互通和共享应用，实现教育、公安、民</w:t>
      </w:r>
      <w:r>
        <w:rPr>
          <w:rFonts w:hint="eastAsia"/>
          <w:color w:val="231F20"/>
          <w:spacing w:val="-23"/>
          <w:sz w:val="32"/>
          <w:szCs w:val="24"/>
        </w:rPr>
        <w:t>政、医疗、医保、社保等人口服务基础信息融合共享、动态更新。</w:t>
      </w:r>
      <w:r>
        <w:rPr>
          <w:rFonts w:hint="eastAsia"/>
          <w:color w:val="231F20"/>
          <w:spacing w:val="2"/>
          <w:sz w:val="32"/>
          <w:szCs w:val="24"/>
        </w:rPr>
        <w:t>健全完善快速调查和数据直报制度，坚持人口监测数据月报制</w:t>
      </w:r>
    </w:p>
    <w:p>
      <w:pPr>
        <w:pStyle w:val="3"/>
        <w:kinsoku w:val="0"/>
        <w:overflowPunct w:val="0"/>
        <w:spacing w:before="150" w:line="328" w:lineRule="auto"/>
        <w:ind w:right="115"/>
        <w:rPr>
          <w:rFonts w:hint="eastAsia"/>
          <w:color w:val="231F20"/>
          <w:spacing w:val="2"/>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rPr>
          <w:rFonts w:hint="eastAsia"/>
          <w:color w:val="231F20"/>
          <w:sz w:val="32"/>
          <w:szCs w:val="24"/>
        </w:rPr>
      </w:pPr>
      <w:r>
        <w:rPr>
          <w:rFonts w:hint="eastAsia"/>
          <w:color w:val="231F20"/>
          <w:sz w:val="32"/>
          <w:szCs w:val="24"/>
        </w:rPr>
        <w:t>度，定期汇总分析监测数据。</w:t>
      </w:r>
    </w:p>
    <w:p>
      <w:pPr>
        <w:pStyle w:val="3"/>
        <w:kinsoku w:val="0"/>
        <w:overflowPunct w:val="0"/>
        <w:spacing w:before="150" w:line="328" w:lineRule="auto"/>
        <w:ind w:right="254" w:firstLine="680"/>
        <w:jc w:val="both"/>
        <w:rPr>
          <w:rFonts w:hint="eastAsia"/>
          <w:color w:val="231F20"/>
          <w:spacing w:val="-17"/>
          <w:sz w:val="32"/>
          <w:szCs w:val="24"/>
        </w:rPr>
      </w:pPr>
      <w:r>
        <w:rPr>
          <w:rFonts w:hint="default" w:ascii="楷体_GB2312" w:hAnsi="楷体_GB2312" w:eastAsia="楷体_GB2312"/>
          <w:color w:val="231F20"/>
          <w:spacing w:val="17"/>
          <w:sz w:val="32"/>
          <w:szCs w:val="24"/>
        </w:rPr>
        <w:t>（</w:t>
      </w:r>
      <w:r>
        <w:rPr>
          <w:rFonts w:hint="default" w:ascii="楷体_GB2312" w:hAnsi="楷体_GB2312" w:eastAsia="楷体_GB2312"/>
          <w:color w:val="231F20"/>
          <w:spacing w:val="15"/>
          <w:sz w:val="32"/>
          <w:szCs w:val="24"/>
        </w:rPr>
        <w:t>二十二</w:t>
      </w:r>
      <w:r>
        <w:rPr>
          <w:rFonts w:hint="default" w:ascii="楷体_GB2312" w:hAnsi="楷体_GB2312" w:eastAsia="楷体_GB2312"/>
          <w:color w:val="231F20"/>
          <w:spacing w:val="17"/>
          <w:sz w:val="32"/>
          <w:szCs w:val="24"/>
        </w:rPr>
        <w:t>）</w:t>
      </w:r>
      <w:r>
        <w:rPr>
          <w:rFonts w:hint="default" w:ascii="楷体_GB2312" w:hAnsi="楷体_GB2312" w:eastAsia="楷体_GB2312"/>
          <w:color w:val="231F20"/>
          <w:spacing w:val="15"/>
          <w:sz w:val="32"/>
          <w:szCs w:val="24"/>
        </w:rPr>
        <w:t>落实国家生育政策。</w:t>
      </w:r>
      <w:r>
        <w:rPr>
          <w:rFonts w:hint="eastAsia"/>
          <w:color w:val="231F20"/>
          <w:spacing w:val="15"/>
          <w:sz w:val="32"/>
          <w:szCs w:val="24"/>
        </w:rPr>
        <w:t>落实三孩生育政策，配套实施积极生育支持措施，提高优生优育和幼有所育服务水</w:t>
      </w:r>
      <w:r>
        <w:rPr>
          <w:rFonts w:hint="eastAsia"/>
          <w:color w:val="231F20"/>
          <w:spacing w:val="12"/>
          <w:sz w:val="32"/>
          <w:szCs w:val="24"/>
        </w:rPr>
        <w:t>平，家庭发展能力明显提高，构建方便快捷、优质高效的生</w:t>
      </w:r>
      <w:r>
        <w:rPr>
          <w:rFonts w:hint="eastAsia"/>
          <w:color w:val="231F20"/>
          <w:spacing w:val="8"/>
          <w:sz w:val="32"/>
          <w:szCs w:val="24"/>
        </w:rPr>
        <w:t xml:space="preserve">育服务体系。保障孕产妇和儿童健康，综合防治出生缺陷， </w:t>
      </w:r>
      <w:r>
        <w:rPr>
          <w:rFonts w:hint="eastAsia"/>
          <w:color w:val="231F20"/>
          <w:spacing w:val="15"/>
          <w:sz w:val="32"/>
          <w:szCs w:val="24"/>
        </w:rPr>
        <w:t>规范人类辅助生殖技术应用。发展普惠托育服务体系，降低</w:t>
      </w:r>
      <w:r>
        <w:rPr>
          <w:rFonts w:hint="eastAsia"/>
          <w:color w:val="231F20"/>
          <w:spacing w:val="10"/>
          <w:sz w:val="32"/>
          <w:szCs w:val="24"/>
        </w:rPr>
        <w:t>生育、养育、教育成本，严格落实产假、哺乳假等制度。对</w:t>
      </w:r>
      <w:r>
        <w:rPr>
          <w:rFonts w:hint="eastAsia"/>
          <w:color w:val="231F20"/>
          <w:spacing w:val="16"/>
          <w:sz w:val="32"/>
          <w:szCs w:val="24"/>
        </w:rPr>
        <w:t>全面两孩政策调整前的独生子女家庭和农村计划生育双女家</w:t>
      </w:r>
      <w:r>
        <w:rPr>
          <w:rFonts w:hint="eastAsia"/>
          <w:color w:val="231F20"/>
          <w:spacing w:val="15"/>
          <w:sz w:val="32"/>
          <w:szCs w:val="24"/>
        </w:rPr>
        <w:t>庭继续实行现行各项奖励扶助制度和优惠政策。确保计划生</w:t>
      </w:r>
      <w:r>
        <w:rPr>
          <w:rFonts w:hint="eastAsia"/>
          <w:color w:val="231F20"/>
          <w:spacing w:val="-17"/>
          <w:sz w:val="32"/>
          <w:szCs w:val="24"/>
        </w:rPr>
        <w:t>育特殊家庭联系人制度、就医绿色通道、家庭医生签约服务“三个全覆盖”。</w:t>
      </w:r>
    </w:p>
    <w:p>
      <w:pPr>
        <w:pStyle w:val="3"/>
        <w:kinsoku w:val="0"/>
        <w:overflowPunct w:val="0"/>
        <w:spacing w:line="393" w:lineRule="exact"/>
        <w:ind w:left="957"/>
        <w:rPr>
          <w:rFonts w:hint="eastAsia"/>
          <w:color w:val="231F20"/>
          <w:sz w:val="32"/>
          <w:szCs w:val="24"/>
        </w:rPr>
      </w:pPr>
      <w:r>
        <w:rPr>
          <w:rFonts w:hint="default" w:ascii="楷体_GB2312" w:hAnsi="楷体_GB2312" w:eastAsia="楷体_GB2312"/>
          <w:color w:val="231F20"/>
          <w:sz w:val="32"/>
          <w:szCs w:val="24"/>
        </w:rPr>
        <w:t>（二十三</w:t>
      </w:r>
      <w:r>
        <w:rPr>
          <w:rFonts w:hint="default" w:ascii="楷体_GB2312" w:hAnsi="楷体_GB2312" w:eastAsia="楷体_GB2312"/>
          <w:color w:val="231F20"/>
          <w:spacing w:val="-55"/>
          <w:sz w:val="32"/>
          <w:szCs w:val="24"/>
        </w:rPr>
        <w:t>）</w:t>
      </w:r>
      <w:r>
        <w:rPr>
          <w:rFonts w:hint="default" w:ascii="楷体_GB2312" w:hAnsi="楷体_GB2312" w:eastAsia="楷体_GB2312"/>
          <w:color w:val="231F20"/>
          <w:spacing w:val="-5"/>
          <w:sz w:val="32"/>
          <w:szCs w:val="24"/>
        </w:rPr>
        <w:t>健全婴幼儿照护服务体系。</w:t>
      </w:r>
      <w:r>
        <w:rPr>
          <w:rFonts w:hint="eastAsia"/>
          <w:color w:val="231F20"/>
          <w:sz w:val="32"/>
          <w:szCs w:val="24"/>
        </w:rPr>
        <w:t>建立以家庭为基础、</w:t>
      </w:r>
    </w:p>
    <w:p>
      <w:pPr>
        <w:pStyle w:val="3"/>
        <w:kinsoku w:val="0"/>
        <w:overflowPunct w:val="0"/>
        <w:spacing w:before="150" w:line="328" w:lineRule="auto"/>
        <w:ind w:right="115"/>
        <w:rPr>
          <w:rFonts w:hint="eastAsia"/>
          <w:color w:val="231F20"/>
          <w:sz w:val="32"/>
          <w:szCs w:val="24"/>
        </w:rPr>
      </w:pPr>
      <w:r>
        <w:rPr>
          <w:rFonts w:hint="eastAsia"/>
          <w:color w:val="231F20"/>
          <w:spacing w:val="2"/>
          <w:sz w:val="32"/>
          <w:szCs w:val="24"/>
        </w:rPr>
        <w:t>社区</w:t>
      </w:r>
      <w:r>
        <w:rPr>
          <w:rFonts w:hint="eastAsia"/>
          <w:color w:val="231F20"/>
          <w:spacing w:val="4"/>
          <w:sz w:val="32"/>
          <w:szCs w:val="24"/>
        </w:rPr>
        <w:t>（</w:t>
      </w:r>
      <w:r>
        <w:rPr>
          <w:rFonts w:hint="eastAsia"/>
          <w:color w:val="231F20"/>
          <w:spacing w:val="2"/>
          <w:sz w:val="32"/>
          <w:szCs w:val="24"/>
        </w:rPr>
        <w:t>村居</w:t>
      </w:r>
      <w:r>
        <w:rPr>
          <w:rFonts w:hint="eastAsia"/>
          <w:color w:val="231F20"/>
          <w:spacing w:val="4"/>
          <w:sz w:val="32"/>
          <w:szCs w:val="24"/>
        </w:rPr>
        <w:t>）</w:t>
      </w:r>
      <w:r>
        <w:rPr>
          <w:rFonts w:hint="eastAsia"/>
          <w:color w:val="231F20"/>
          <w:spacing w:val="1"/>
          <w:sz w:val="32"/>
          <w:szCs w:val="24"/>
        </w:rPr>
        <w:t>为依托、机构为补充的婴幼儿托育服务体系。建</w:t>
      </w:r>
      <w:r>
        <w:rPr>
          <w:rFonts w:hint="eastAsia"/>
          <w:color w:val="231F20"/>
          <w:spacing w:val="2"/>
          <w:sz w:val="32"/>
          <w:szCs w:val="24"/>
        </w:rPr>
        <w:t>立健全婴幼儿照护服务管理机制和运行机制，开展普惠托育专</w:t>
      </w:r>
      <w:r>
        <w:rPr>
          <w:rFonts w:hint="eastAsia"/>
          <w:color w:val="231F20"/>
          <w:sz w:val="32"/>
          <w:szCs w:val="24"/>
        </w:rPr>
        <w:t>项行动，提高婴幼儿照护服务的有效供给，降低生育、养育、教育成本。鼓励通过市场化方式，采取公办民营、民办公助、</w:t>
      </w:r>
      <w:r>
        <w:rPr>
          <w:rFonts w:hint="eastAsia"/>
          <w:color w:val="231F20"/>
          <w:spacing w:val="1"/>
          <w:sz w:val="32"/>
          <w:szCs w:val="24"/>
        </w:rPr>
        <w:t>政府补贴、行业引导和动员社会力量参与等方式，在就业人群</w:t>
      </w:r>
      <w:r>
        <w:rPr>
          <w:rFonts w:hint="eastAsia"/>
          <w:color w:val="231F20"/>
          <w:sz w:val="32"/>
          <w:szCs w:val="24"/>
        </w:rPr>
        <w:t>密集的产业聚集区域和用人单位完善婴幼儿照护服务设施。鼓励用人单位设置育婴室、母婴室、采取灵活安排工作时间等积</w:t>
      </w:r>
      <w:r>
        <w:rPr>
          <w:rFonts w:hint="eastAsia"/>
          <w:color w:val="231F20"/>
          <w:spacing w:val="-9"/>
          <w:sz w:val="32"/>
          <w:szCs w:val="24"/>
        </w:rPr>
        <w:t xml:space="preserve">极措施，为婴幼儿照护创造便利条件。加强托育人才队伍建设， </w:t>
      </w:r>
      <w:r>
        <w:rPr>
          <w:rFonts w:hint="eastAsia"/>
          <w:color w:val="231F20"/>
          <w:spacing w:val="2"/>
          <w:sz w:val="32"/>
          <w:szCs w:val="24"/>
        </w:rPr>
        <w:t>加大对社区婴幼儿照护服务的支持力度，强化对家庭的婴幼儿</w:t>
      </w:r>
      <w:r>
        <w:rPr>
          <w:rFonts w:hint="eastAsia"/>
          <w:color w:val="231F20"/>
          <w:spacing w:val="-2"/>
          <w:sz w:val="32"/>
          <w:szCs w:val="24"/>
        </w:rPr>
        <w:t xml:space="preserve">早期发展指导。到 </w:t>
      </w:r>
      <w:r>
        <w:rPr>
          <w:rFonts w:hint="eastAsia"/>
          <w:color w:val="231F20"/>
          <w:sz w:val="32"/>
          <w:szCs w:val="24"/>
        </w:rPr>
        <w:t>2025</w:t>
      </w:r>
      <w:r>
        <w:rPr>
          <w:rFonts w:hint="eastAsia"/>
          <w:color w:val="231F20"/>
          <w:spacing w:val="-7"/>
          <w:sz w:val="32"/>
          <w:szCs w:val="24"/>
        </w:rPr>
        <w:t xml:space="preserve"> 年，力争每个园区建成 </w:t>
      </w:r>
      <w:r>
        <w:rPr>
          <w:rFonts w:hint="eastAsia"/>
          <w:color w:val="231F20"/>
          <w:sz w:val="32"/>
          <w:szCs w:val="24"/>
        </w:rPr>
        <w:t>1-2</w:t>
      </w:r>
      <w:r>
        <w:rPr>
          <w:rFonts w:hint="eastAsia"/>
          <w:color w:val="231F20"/>
          <w:spacing w:val="-8"/>
          <w:sz w:val="32"/>
          <w:szCs w:val="24"/>
        </w:rPr>
        <w:t xml:space="preserve"> 家规范化</w:t>
      </w:r>
      <w:r>
        <w:rPr>
          <w:rFonts w:hint="eastAsia"/>
          <w:color w:val="231F20"/>
          <w:spacing w:val="2"/>
          <w:sz w:val="32"/>
          <w:szCs w:val="24"/>
        </w:rPr>
        <w:t>的婴幼儿照护服务机构试点，覆盖新区城乡的婴幼儿照护服务</w:t>
      </w:r>
      <w:r>
        <w:rPr>
          <w:rFonts w:hint="eastAsia"/>
          <w:color w:val="231F20"/>
          <w:sz w:val="32"/>
          <w:szCs w:val="24"/>
        </w:rPr>
        <w:t>体系基本形成。</w:t>
      </w:r>
    </w:p>
    <w:p>
      <w:pPr>
        <w:pStyle w:val="3"/>
        <w:kinsoku w:val="0"/>
        <w:overflowPunct w:val="0"/>
        <w:spacing w:before="150" w:line="328" w:lineRule="auto"/>
        <w:ind w:right="115"/>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40" w:lineRule="auto"/>
        <w:ind w:right="53" w:firstLine="680"/>
        <w:rPr>
          <w:rFonts w:hint="eastAsia"/>
          <w:color w:val="231F20"/>
          <w:sz w:val="32"/>
          <w:szCs w:val="24"/>
        </w:rPr>
      </w:pPr>
      <w:r>
        <w:rPr>
          <w:rFonts w:hint="default" w:ascii="楷体_GB2312" w:hAnsi="楷体_GB2312" w:eastAsia="楷体_GB2312"/>
          <w:color w:val="231F20"/>
          <w:sz w:val="32"/>
          <w:szCs w:val="24"/>
        </w:rPr>
        <w:t>（二十四）提升老年健康服务水平。</w:t>
      </w:r>
      <w:r>
        <w:rPr>
          <w:rFonts w:hint="eastAsia"/>
          <w:color w:val="231F20"/>
          <w:sz w:val="32"/>
          <w:szCs w:val="24"/>
        </w:rPr>
        <w:t>为 65 岁及以上居家老年人每年提供“2111”式健康管理服务（即：开展两次医养结合服务，一次免费体检、一次中医药体质辨识服务、至少一次失能评估与健康指导），以患有慢性疾病老年人为重点做实家庭医生签约服务，建立居民电子健康档案，提供针对性服务。推动农村地区探索“两院”合建（乡镇卫生院与敬老院、村卫生室与农村幸福院统筹规划、毗邻建设），社区卫生服务机构提供医养结合服务，为老年人提供基本医疗和公共卫生服务。加强与区域内老年病院、康复机构、护理机构等延续性医疗机构的分工协作，实现患病期治疗、康复期护理、稳定期生活照料的有效联动。支持在二级及以上医院开设安宁疗护科，乡镇卫生院和社区卫生服务中心以及新建医养结合机构根据实际需求开设安宁疗护病床，鼓励为有需要的老年人提供家庭安宁疗护病床。</w:t>
      </w:r>
    </w:p>
    <w:p>
      <w:pPr>
        <w:pStyle w:val="3"/>
        <w:kinsoku w:val="0"/>
        <w:overflowPunct w:val="0"/>
        <w:spacing w:line="379" w:lineRule="exact"/>
        <w:ind w:left="957"/>
        <w:rPr>
          <w:rFonts w:hint="eastAsia"/>
          <w:color w:val="231F20"/>
          <w:sz w:val="32"/>
          <w:szCs w:val="24"/>
        </w:rPr>
      </w:pPr>
      <w:r>
        <w:rPr>
          <w:rFonts w:hint="default" w:ascii="楷体_GB2312" w:hAnsi="楷体_GB2312" w:eastAsia="楷体_GB2312"/>
          <w:color w:val="231F20"/>
          <w:sz w:val="32"/>
          <w:szCs w:val="24"/>
        </w:rPr>
        <w:t>（二十五）促进医养结合事业快速发展。</w:t>
      </w:r>
      <w:r>
        <w:rPr>
          <w:rFonts w:hint="eastAsia"/>
          <w:color w:val="231F20"/>
          <w:sz w:val="32"/>
          <w:szCs w:val="24"/>
        </w:rPr>
        <w:t>新增医养结合机</w:t>
      </w:r>
    </w:p>
    <w:p>
      <w:pPr>
        <w:pStyle w:val="3"/>
        <w:kinsoku w:val="0"/>
        <w:overflowPunct w:val="0"/>
        <w:spacing w:before="150" w:line="350" w:lineRule="auto"/>
        <w:ind w:right="115"/>
        <w:jc w:val="both"/>
        <w:rPr>
          <w:rFonts w:hint="eastAsia"/>
          <w:color w:val="231F20"/>
          <w:sz w:val="32"/>
          <w:szCs w:val="24"/>
        </w:rPr>
      </w:pPr>
      <w:r>
        <w:rPr>
          <w:rFonts w:hint="eastAsia"/>
          <w:color w:val="231F20"/>
          <w:sz w:val="32"/>
          <w:szCs w:val="24"/>
        </w:rPr>
        <w:t>构</w:t>
      </w:r>
      <w:r>
        <w:rPr>
          <w:rFonts w:hint="eastAsia"/>
          <w:color w:val="231F20"/>
          <w:spacing w:val="3"/>
          <w:sz w:val="32"/>
          <w:szCs w:val="24"/>
        </w:rPr>
        <w:t>（同时具备医疗卫生资质和养老服务能力的医疗机构或养老</w:t>
      </w:r>
      <w:r>
        <w:rPr>
          <w:rFonts w:hint="eastAsia"/>
          <w:color w:val="231F20"/>
          <w:sz w:val="32"/>
          <w:szCs w:val="24"/>
        </w:rPr>
        <w:t>机构</w:t>
      </w:r>
      <w:r>
        <w:rPr>
          <w:rFonts w:hint="eastAsia"/>
          <w:color w:val="231F20"/>
          <w:spacing w:val="-11"/>
          <w:sz w:val="32"/>
          <w:szCs w:val="24"/>
        </w:rPr>
        <w:t>）3</w:t>
      </w:r>
      <w:r>
        <w:rPr>
          <w:rFonts w:hint="eastAsia"/>
          <w:color w:val="231F20"/>
          <w:spacing w:val="-16"/>
          <w:sz w:val="32"/>
          <w:szCs w:val="24"/>
        </w:rPr>
        <w:t xml:space="preserve"> 家以上；建立失能失智老年人医养结合服务中心 </w:t>
      </w:r>
      <w:r>
        <w:rPr>
          <w:rFonts w:hint="eastAsia"/>
          <w:color w:val="231F20"/>
          <w:sz w:val="32"/>
          <w:szCs w:val="24"/>
        </w:rPr>
        <w:t>1</w:t>
      </w:r>
      <w:r>
        <w:rPr>
          <w:rFonts w:hint="eastAsia"/>
          <w:color w:val="231F20"/>
          <w:spacing w:val="-33"/>
          <w:sz w:val="32"/>
          <w:szCs w:val="24"/>
        </w:rPr>
        <w:t xml:space="preserve"> 所； </w:t>
      </w:r>
      <w:r>
        <w:rPr>
          <w:rFonts w:hint="eastAsia"/>
          <w:color w:val="231F20"/>
          <w:spacing w:val="-1"/>
          <w:sz w:val="32"/>
          <w:szCs w:val="24"/>
        </w:rPr>
        <w:t xml:space="preserve">培养为老年人提供集中和专业照护服务的医护人员 </w:t>
      </w:r>
      <w:r>
        <w:rPr>
          <w:rFonts w:hint="eastAsia"/>
          <w:color w:val="231F20"/>
          <w:sz w:val="32"/>
          <w:szCs w:val="24"/>
        </w:rPr>
        <w:t>120</w:t>
      </w:r>
      <w:r>
        <w:rPr>
          <w:rFonts w:hint="eastAsia"/>
          <w:color w:val="231F20"/>
          <w:spacing w:val="-19"/>
          <w:sz w:val="32"/>
          <w:szCs w:val="24"/>
        </w:rPr>
        <w:t xml:space="preserve"> 名，基</w:t>
      </w:r>
      <w:r>
        <w:rPr>
          <w:rFonts w:hint="eastAsia"/>
          <w:color w:val="231F20"/>
          <w:spacing w:val="2"/>
          <w:sz w:val="32"/>
          <w:szCs w:val="24"/>
        </w:rPr>
        <w:t>本满足不同层次老年人照护服务需求；实现所有医疗机构开设</w:t>
      </w:r>
      <w:r>
        <w:rPr>
          <w:rFonts w:hint="eastAsia"/>
          <w:color w:val="231F20"/>
          <w:sz w:val="32"/>
          <w:szCs w:val="24"/>
        </w:rPr>
        <w:t>老年人挂号、就医等便利服务绿色通道，所有养老机构能够以</w:t>
      </w:r>
      <w:r>
        <w:rPr>
          <w:rFonts w:hint="eastAsia"/>
          <w:color w:val="231F20"/>
          <w:spacing w:val="-5"/>
          <w:sz w:val="32"/>
          <w:szCs w:val="24"/>
        </w:rPr>
        <w:t>不同形式为入住老年人提供医疗卫生服务；基本建成覆盖城乡、</w:t>
      </w:r>
      <w:r>
        <w:rPr>
          <w:rFonts w:hint="eastAsia"/>
          <w:color w:val="231F20"/>
          <w:sz w:val="32"/>
          <w:szCs w:val="24"/>
        </w:rPr>
        <w:t>规模适宜、功能合理、综合连续的医养结合服务网络。</w:t>
      </w:r>
    </w:p>
    <w:p>
      <w:pPr>
        <w:pStyle w:val="3"/>
        <w:kinsoku w:val="0"/>
        <w:overflowPunct w:val="0"/>
        <w:spacing w:before="150" w:line="350" w:lineRule="auto"/>
        <w:ind w:right="115"/>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ind w:left="0"/>
        <w:rPr>
          <w:rFonts w:hint="eastAsia"/>
          <w:sz w:val="20"/>
          <w:szCs w:val="24"/>
        </w:rPr>
      </w:pPr>
    </w:p>
    <w:p>
      <w:pPr>
        <w:pStyle w:val="3"/>
        <w:kinsoku w:val="0"/>
        <w:overflowPunct w:val="0"/>
        <w:spacing w:before="157"/>
        <w:ind w:left="0" w:right="8"/>
        <w:jc w:val="center"/>
        <w:rPr>
          <w:rFonts w:hint="default" w:ascii="方正黑体简体" w:hAnsi="方正黑体简体" w:eastAsia="方正黑体简体"/>
          <w:color w:val="231F20"/>
          <w:sz w:val="32"/>
          <w:szCs w:val="24"/>
        </w:rPr>
      </w:pPr>
      <w:r>
        <w:rPr>
          <w:rFonts w:hint="default"/>
          <w:sz w:val="20"/>
          <w:szCs w:val="24"/>
        </w:rPr>
        <mc:AlternateContent>
          <mc:Choice Requires="wpg">
            <w:drawing>
              <wp:anchor distT="0" distB="0" distL="114300" distR="114300" simplePos="0" relativeHeight="251662336" behindDoc="1" locked="0" layoutInCell="1" allowOverlap="1">
                <wp:simplePos x="0" y="0"/>
                <wp:positionH relativeFrom="page">
                  <wp:posOffset>1108075</wp:posOffset>
                </wp:positionH>
                <wp:positionV relativeFrom="paragraph">
                  <wp:posOffset>56515</wp:posOffset>
                </wp:positionV>
                <wp:extent cx="5551805" cy="5022215"/>
                <wp:effectExtent l="0" t="8255" r="0" b="8890"/>
                <wp:wrapNone/>
                <wp:docPr id="24" name="组合 21"/>
                <wp:cNvGraphicFramePr/>
                <a:graphic xmlns:a="http://schemas.openxmlformats.org/drawingml/2006/main">
                  <a:graphicData uri="http://schemas.microsoft.com/office/word/2010/wordprocessingGroup">
                    <wpg:wgp>
                      <wpg:cNvGrpSpPr/>
                      <wpg:grpSpPr>
                        <a:xfrm>
                          <a:off x="0" y="0"/>
                          <a:ext cx="5551805" cy="5022215"/>
                          <a:chOff x="1745" y="102"/>
                          <a:chExt cx="8750" cy="7903"/>
                        </a:xfrm>
                      </wpg:grpSpPr>
                      <wps:wsp>
                        <wps:cNvPr id="20" name="任意多边形 22"/>
                        <wps:cNvSpPr/>
                        <wps:spPr>
                          <a:xfrm>
                            <a:off x="1745" y="102"/>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21" name="任意多边形 23"/>
                        <wps:cNvSpPr/>
                        <wps:spPr>
                          <a:xfrm>
                            <a:off x="1758" y="115"/>
                            <a:ext cx="20" cy="7857"/>
                          </a:xfrm>
                          <a:custGeom>
                            <a:avLst/>
                            <a:gdLst/>
                            <a:ahLst/>
                            <a:cxnLst/>
                            <a:pathLst>
                              <a:path w="20" h="7857">
                                <a:moveTo>
                                  <a:pt x="0" y="7856"/>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22" name="任意多边形 24"/>
                        <wps:cNvSpPr/>
                        <wps:spPr>
                          <a:xfrm>
                            <a:off x="10475" y="115"/>
                            <a:ext cx="20" cy="7857"/>
                          </a:xfrm>
                          <a:custGeom>
                            <a:avLst/>
                            <a:gdLst/>
                            <a:ahLst/>
                            <a:cxnLst/>
                            <a:pathLst>
                              <a:path w="20" h="7857">
                                <a:moveTo>
                                  <a:pt x="0" y="7856"/>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23" name="任意多边形 25"/>
                        <wps:cNvSpPr/>
                        <wps:spPr>
                          <a:xfrm>
                            <a:off x="1745" y="7985"/>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g:wgp>
                  </a:graphicData>
                </a:graphic>
              </wp:anchor>
            </w:drawing>
          </mc:Choice>
          <mc:Fallback>
            <w:pict>
              <v:group id="组合 21" o:spid="_x0000_s1026" o:spt="203" style="position:absolute;left:0pt;margin-left:87.25pt;margin-top:4.45pt;height:395.45pt;width:437.15pt;mso-position-horizontal-relative:page;z-index:-251654144;mso-width-relative:page;mso-height-relative:page;" coordorigin="1745,102" coordsize="8750,7903" o:gfxdata="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BYAAABkcnMvUEsBAhQAFAAAAAgAh07iQFpwazzaAAAACgEA&#10;AA8AAAAAAAAAAQAgAAAAOAAAAGRycy9kb3ducmV2LnhtbFBLAQIUABQAAAAIAIdO4kA4N0B7HwMA&#10;AMwNAAAOAAAAAAAAAAEAIAAAAD8BAABkcnMvZTJvRG9jLnhtbFBLBQYAAAAABgAGAFkBAADQBgAA&#10;AAA=&#10;">
                <o:lock v:ext="edit" aspectratio="f"/>
                <v:shape id="任意多边形 22" o:spid="_x0000_s1026" o:spt="100" style="position:absolute;left:1745;top:102;height:20;width:8743;" filled="f" stroked="t" coordsize="8743,20" o:gfxdata="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6WohyuQAAANsAAAAPAAAAAAAAAAEAIAAAADgAAABkcnMvZG93bnJldi54bWxQ&#10;SwECFAAUAAAACACHTuJAMy8FnjsAAAA5AAAAEAAAAAAAAAABACAAAAAeAQAAZHJzL3NoYXBleG1s&#10;LnhtbFBLBQYAAAAABgAGAFsBAADIAwAAAAA=&#10;" path="m0,0l8742,0e">
                  <v:fill on="f" focussize="0,0"/>
                  <v:stroke weight="1.3pt" color="#231F20" joinstyle="round"/>
                  <v:imagedata o:title=""/>
                  <o:lock v:ext="edit" aspectratio="f"/>
                </v:shape>
                <v:shape id="任意多边形 23" o:spid="_x0000_s1026" o:spt="100" style="position:absolute;left:1758;top:115;height:7857;width:20;" filled="f" stroked="t" coordsize="20,7857" o:gfxdata="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X39++7AAAA2wAAAA8AAAAAAAAAAQAgAAAAOAAAAGRycy9kb3ducmV2Lnht&#10;bFBLAQIUABQAAAAIAIdO4kAzLwWeOwAAADkAAAAQAAAAAAAAAAEAIAAAACABAABkcnMvc2hhcGV4&#10;bWwueG1sUEsFBgAAAAAGAAYAWwEAAMoDAAAAAA==&#10;" path="m0,7856l0,0e">
                  <v:fill on="f" focussize="0,0"/>
                  <v:stroke weight="1.3pt" color="#231F20" joinstyle="round"/>
                  <v:imagedata o:title=""/>
                  <o:lock v:ext="edit" aspectratio="f"/>
                </v:shape>
                <v:shape id="任意多边形 24" o:spid="_x0000_s1026" o:spt="100" style="position:absolute;left:10475;top:115;height:7857;width:20;" filled="f" stroked="t" coordsize="20,7857" o:gfxdata="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SVpmL0AAADbAAAADwAAAAAAAAABACAAAAA4AAAAZHJzL2Rvd25yZXYu&#10;eG1sUEsBAhQAFAAAAAgAh07iQDMvBZ47AAAAOQAAABAAAAAAAAAAAQAgAAAAIgEAAGRycy9zaGFw&#10;ZXhtbC54bWxQSwUGAAAAAAYABgBbAQAAzAMAAAAA&#10;" path="m0,7856l0,0e">
                  <v:fill on="f" focussize="0,0"/>
                  <v:stroke weight="1.3pt" color="#231F20" joinstyle="round"/>
                  <v:imagedata o:title=""/>
                  <o:lock v:ext="edit" aspectratio="f"/>
                </v:shape>
                <v:shape id="任意多边形 25" o:spid="_x0000_s1026" o:spt="100" style="position:absolute;left:1745;top:7985;height:20;width:8743;" filled="f" stroked="t" coordsize="8743,20" o:gfxdata="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ogWBb0AAADbAAAADwAAAAAAAAABACAAAAA4AAAAZHJzL2Rvd25yZXYu&#10;eG1sUEsBAhQAFAAAAAgAh07iQDMvBZ47AAAAOQAAABAAAAAAAAAAAQAgAAAAIgEAAGRycy9zaGFw&#10;ZXhtbC54bWxQSwUGAAAAAAYABgBbAQAAzAMAAAAA&#10;" path="m0,0l8742,0e">
                  <v:fill on="f" focussize="0,0"/>
                  <v:stroke weight="1.3pt" color="#231F20" joinstyle="round"/>
                  <v:imagedata o:title=""/>
                  <o:lock v:ext="edit" aspectratio="f"/>
                </v:shape>
              </v:group>
            </w:pict>
          </mc:Fallback>
        </mc:AlternateContent>
      </w:r>
      <w:r>
        <w:rPr>
          <w:rFonts w:hint="default" w:ascii="方正黑体简体" w:hAnsi="方正黑体简体" w:eastAsia="方正黑体简体"/>
          <w:color w:val="231F20"/>
          <w:sz w:val="32"/>
          <w:szCs w:val="24"/>
        </w:rPr>
        <w:t>专栏 5：促进“一老一少”与人口高质量发展</w:t>
      </w:r>
    </w:p>
    <w:p>
      <w:pPr>
        <w:pStyle w:val="7"/>
        <w:numPr>
          <w:ilvl w:val="0"/>
          <w:numId w:val="0"/>
        </w:numPr>
        <w:tabs>
          <w:tab w:val="left" w:pos="1404"/>
        </w:tabs>
        <w:kinsoku w:val="0"/>
        <w:overflowPunct w:val="0"/>
        <w:spacing w:before="97" w:line="328" w:lineRule="auto"/>
        <w:ind w:left="319" w:leftChars="145" w:firstLine="600" w:firstLineChars="200"/>
        <w:jc w:val="left"/>
        <w:rPr>
          <w:rFonts w:hint="eastAsia"/>
          <w:color w:val="231F20"/>
          <w:sz w:val="32"/>
          <w:szCs w:val="24"/>
        </w:rPr>
      </w:pPr>
      <w:r>
        <w:rPr>
          <w:rFonts w:hint="eastAsia"/>
          <w:color w:val="231F20"/>
          <w:spacing w:val="-10"/>
          <w:sz w:val="32"/>
          <w:szCs w:val="24"/>
          <w:lang w:val="en-US" w:eastAsia="zh-CN"/>
        </w:rPr>
        <w:t>1.</w:t>
      </w:r>
      <w:r>
        <w:rPr>
          <w:rFonts w:hint="eastAsia"/>
          <w:color w:val="231F20"/>
          <w:spacing w:val="-10"/>
          <w:sz w:val="32"/>
          <w:szCs w:val="24"/>
        </w:rPr>
        <w:t>大力推进妇幼保健学科建设，提供安全、便捷、温馨、</w:t>
      </w:r>
      <w:r>
        <w:rPr>
          <w:rFonts w:hint="eastAsia"/>
          <w:color w:val="231F20"/>
          <w:sz w:val="32"/>
          <w:szCs w:val="24"/>
        </w:rPr>
        <w:t>优质的妇幼健康特色服务，提升就诊体验和满意度。</w:t>
      </w:r>
    </w:p>
    <w:p>
      <w:pPr>
        <w:pStyle w:val="7"/>
        <w:numPr>
          <w:ilvl w:val="0"/>
          <w:numId w:val="0"/>
        </w:numPr>
        <w:tabs>
          <w:tab w:val="left" w:pos="1418"/>
        </w:tabs>
        <w:kinsoku w:val="0"/>
        <w:overflowPunct w:val="0"/>
        <w:spacing w:line="328" w:lineRule="auto"/>
        <w:ind w:left="319" w:leftChars="145" w:right="185" w:firstLine="656" w:firstLineChars="200"/>
        <w:jc w:val="left"/>
        <w:rPr>
          <w:rFonts w:hint="eastAsia"/>
          <w:color w:val="231F20"/>
          <w:spacing w:val="9"/>
          <w:sz w:val="32"/>
          <w:szCs w:val="24"/>
        </w:rPr>
      </w:pPr>
      <w:r>
        <w:rPr>
          <w:rFonts w:hint="eastAsia"/>
          <w:color w:val="231F20"/>
          <w:spacing w:val="4"/>
          <w:sz w:val="32"/>
          <w:szCs w:val="24"/>
          <w:lang w:val="en-US" w:eastAsia="zh-CN"/>
        </w:rPr>
        <w:t>2.</w:t>
      </w:r>
      <w:r>
        <w:rPr>
          <w:rFonts w:hint="eastAsia"/>
          <w:color w:val="231F20"/>
          <w:spacing w:val="4"/>
          <w:sz w:val="32"/>
          <w:szCs w:val="24"/>
        </w:rPr>
        <w:t>全面推进“暖心行动”和计划生育家庭保险，完善实</w:t>
      </w:r>
      <w:r>
        <w:rPr>
          <w:rFonts w:hint="eastAsia"/>
          <w:color w:val="231F20"/>
          <w:spacing w:val="-3"/>
          <w:sz w:val="32"/>
          <w:szCs w:val="24"/>
        </w:rPr>
        <w:t>施计划生育特殊家庭</w:t>
      </w:r>
      <w:r>
        <w:rPr>
          <w:rFonts w:hint="eastAsia"/>
          <w:color w:val="231F20"/>
          <w:spacing w:val="-4"/>
          <w:sz w:val="32"/>
          <w:szCs w:val="24"/>
        </w:rPr>
        <w:t>“4+1</w:t>
      </w:r>
      <w:r>
        <w:rPr>
          <w:rFonts w:hint="eastAsia"/>
          <w:color w:val="231F20"/>
          <w:spacing w:val="-3"/>
          <w:sz w:val="32"/>
          <w:szCs w:val="24"/>
        </w:rPr>
        <w:t xml:space="preserve">”联系人制度和定期走访慰问制度， </w:t>
      </w:r>
      <w:r>
        <w:rPr>
          <w:rFonts w:hint="eastAsia"/>
          <w:color w:val="231F20"/>
          <w:spacing w:val="9"/>
          <w:sz w:val="32"/>
          <w:szCs w:val="24"/>
        </w:rPr>
        <w:t>确保计划生育特殊家庭联系人制度、就医绿色通道、家庭医生签约服务“三个全覆盖”。</w:t>
      </w:r>
    </w:p>
    <w:p>
      <w:pPr>
        <w:pStyle w:val="7"/>
        <w:numPr>
          <w:ilvl w:val="0"/>
          <w:numId w:val="0"/>
        </w:numPr>
        <w:tabs>
          <w:tab w:val="left" w:pos="1416"/>
        </w:tabs>
        <w:kinsoku w:val="0"/>
        <w:overflowPunct w:val="0"/>
        <w:spacing w:line="328" w:lineRule="auto"/>
        <w:ind w:left="319" w:leftChars="145" w:firstLine="656" w:firstLineChars="200"/>
        <w:jc w:val="left"/>
        <w:rPr>
          <w:rFonts w:hint="eastAsia"/>
          <w:color w:val="231F20"/>
          <w:sz w:val="32"/>
          <w:szCs w:val="24"/>
        </w:rPr>
      </w:pPr>
      <w:r>
        <w:rPr>
          <w:rFonts w:hint="eastAsia"/>
          <w:color w:val="231F20"/>
          <w:spacing w:val="4"/>
          <w:sz w:val="32"/>
          <w:szCs w:val="24"/>
          <w:lang w:val="en-US" w:eastAsia="zh-CN"/>
        </w:rPr>
        <w:t>3.到</w:t>
      </w:r>
      <w:r>
        <w:rPr>
          <w:rFonts w:hint="eastAsia"/>
          <w:color w:val="231F20"/>
          <w:spacing w:val="-41"/>
          <w:sz w:val="32"/>
          <w:szCs w:val="24"/>
        </w:rPr>
        <w:t xml:space="preserve"> </w:t>
      </w:r>
      <w:r>
        <w:rPr>
          <w:rFonts w:hint="eastAsia"/>
          <w:color w:val="231F20"/>
          <w:sz w:val="32"/>
          <w:szCs w:val="24"/>
        </w:rPr>
        <w:t>2025</w:t>
      </w:r>
      <w:r>
        <w:rPr>
          <w:rFonts w:hint="eastAsia"/>
          <w:color w:val="231F20"/>
          <w:spacing w:val="-18"/>
          <w:sz w:val="32"/>
          <w:szCs w:val="24"/>
        </w:rPr>
        <w:t xml:space="preserve"> 年，每个园区建成 </w:t>
      </w:r>
      <w:r>
        <w:rPr>
          <w:rFonts w:hint="eastAsia"/>
          <w:color w:val="231F20"/>
          <w:sz w:val="32"/>
          <w:szCs w:val="24"/>
        </w:rPr>
        <w:t>1-2</w:t>
      </w:r>
      <w:r>
        <w:rPr>
          <w:rFonts w:hint="eastAsia"/>
          <w:color w:val="231F20"/>
          <w:spacing w:val="-11"/>
          <w:sz w:val="32"/>
          <w:szCs w:val="24"/>
        </w:rPr>
        <w:t xml:space="preserve"> 家规范化的婴幼儿照护</w:t>
      </w:r>
      <w:r>
        <w:rPr>
          <w:rFonts w:hint="eastAsia"/>
          <w:color w:val="231F20"/>
          <w:sz w:val="32"/>
          <w:szCs w:val="24"/>
        </w:rPr>
        <w:t>服务机构试点。</w:t>
      </w:r>
    </w:p>
    <w:p>
      <w:pPr>
        <w:pStyle w:val="7"/>
        <w:numPr>
          <w:ilvl w:val="0"/>
          <w:numId w:val="0"/>
        </w:numPr>
        <w:tabs>
          <w:tab w:val="left" w:pos="1416"/>
        </w:tabs>
        <w:kinsoku w:val="0"/>
        <w:overflowPunct w:val="0"/>
        <w:spacing w:line="328" w:lineRule="auto"/>
        <w:ind w:left="319" w:leftChars="145" w:right="344" w:firstLine="720" w:firstLineChars="300"/>
        <w:jc w:val="left"/>
        <w:rPr>
          <w:rFonts w:hint="eastAsia"/>
          <w:color w:val="231F20"/>
          <w:sz w:val="32"/>
          <w:szCs w:val="24"/>
        </w:rPr>
      </w:pPr>
      <w:r>
        <w:rPr>
          <w:rFonts w:hint="eastAsia"/>
          <w:color w:val="231F20"/>
          <w:spacing w:val="-40"/>
          <w:sz w:val="32"/>
          <w:szCs w:val="24"/>
          <w:lang w:val="en-US" w:eastAsia="zh-CN"/>
        </w:rPr>
        <w:t>4</w:t>
      </w:r>
      <w:r>
        <w:rPr>
          <w:rFonts w:hint="eastAsia"/>
          <w:color w:val="231F20"/>
          <w:spacing w:val="4"/>
          <w:sz w:val="32"/>
          <w:szCs w:val="24"/>
          <w:lang w:val="en-US" w:eastAsia="zh-CN"/>
        </w:rPr>
        <w:t>.为</w:t>
      </w:r>
      <w:r>
        <w:rPr>
          <w:rFonts w:hint="eastAsia"/>
          <w:color w:val="231F20"/>
          <w:spacing w:val="-40"/>
          <w:sz w:val="32"/>
          <w:szCs w:val="24"/>
        </w:rPr>
        <w:t xml:space="preserve"> </w:t>
      </w:r>
      <w:r>
        <w:rPr>
          <w:rFonts w:hint="eastAsia"/>
          <w:color w:val="231F20"/>
          <w:sz w:val="32"/>
          <w:szCs w:val="24"/>
        </w:rPr>
        <w:t>65</w:t>
      </w:r>
      <w:r>
        <w:rPr>
          <w:rFonts w:hint="eastAsia"/>
          <w:color w:val="231F20"/>
          <w:spacing w:val="-10"/>
          <w:sz w:val="32"/>
          <w:szCs w:val="24"/>
        </w:rPr>
        <w:t xml:space="preserve"> 岁及以上居家老年人每年提供</w:t>
      </w:r>
      <w:r>
        <w:rPr>
          <w:rFonts w:hint="eastAsia"/>
          <w:color w:val="231F20"/>
          <w:sz w:val="32"/>
          <w:szCs w:val="24"/>
        </w:rPr>
        <w:t>“2111”</w:t>
      </w:r>
      <w:r>
        <w:rPr>
          <w:rFonts w:hint="eastAsia"/>
          <w:color w:val="231F20"/>
          <w:spacing w:val="-4"/>
          <w:sz w:val="32"/>
          <w:szCs w:val="24"/>
        </w:rPr>
        <w:t>式健康管</w:t>
      </w:r>
      <w:r>
        <w:rPr>
          <w:rFonts w:hint="eastAsia"/>
          <w:color w:val="231F20"/>
          <w:sz w:val="32"/>
          <w:szCs w:val="24"/>
        </w:rPr>
        <w:t>理服务。</w:t>
      </w:r>
    </w:p>
    <w:p>
      <w:pPr>
        <w:pStyle w:val="7"/>
        <w:numPr>
          <w:ilvl w:val="0"/>
          <w:numId w:val="0"/>
        </w:numPr>
        <w:tabs>
          <w:tab w:val="left" w:pos="1418"/>
        </w:tabs>
        <w:kinsoku w:val="0"/>
        <w:overflowPunct w:val="0"/>
        <w:spacing w:line="328" w:lineRule="auto"/>
        <w:ind w:left="319" w:leftChars="145" w:right="335" w:firstLine="628" w:firstLineChars="200"/>
        <w:rPr>
          <w:rFonts w:hint="eastAsia"/>
          <w:color w:val="231F20"/>
          <w:spacing w:val="-27"/>
          <w:sz w:val="32"/>
          <w:szCs w:val="24"/>
        </w:rPr>
      </w:pPr>
      <w:r>
        <w:rPr>
          <w:rFonts w:hint="eastAsia"/>
          <w:color w:val="231F20"/>
          <w:spacing w:val="-3"/>
          <w:sz w:val="32"/>
          <w:szCs w:val="24"/>
          <w:lang w:val="en-US" w:eastAsia="zh-CN"/>
        </w:rPr>
        <w:t>5.</w:t>
      </w:r>
      <w:r>
        <w:rPr>
          <w:rFonts w:hint="eastAsia"/>
          <w:color w:val="231F20"/>
          <w:spacing w:val="-3"/>
          <w:sz w:val="32"/>
          <w:szCs w:val="24"/>
        </w:rPr>
        <w:t xml:space="preserve">新增医养结合机构 </w:t>
      </w:r>
      <w:r>
        <w:rPr>
          <w:rFonts w:hint="eastAsia"/>
          <w:color w:val="231F20"/>
          <w:sz w:val="32"/>
          <w:szCs w:val="24"/>
        </w:rPr>
        <w:t>3</w:t>
      </w:r>
      <w:r>
        <w:rPr>
          <w:rFonts w:hint="eastAsia"/>
          <w:color w:val="231F20"/>
          <w:spacing w:val="-3"/>
          <w:sz w:val="32"/>
          <w:szCs w:val="24"/>
        </w:rPr>
        <w:t xml:space="preserve"> 家以上；建立失能失智老年人医</w:t>
      </w:r>
      <w:r>
        <w:rPr>
          <w:rFonts w:hint="eastAsia"/>
          <w:color w:val="231F20"/>
          <w:spacing w:val="-1"/>
          <w:sz w:val="32"/>
          <w:szCs w:val="24"/>
        </w:rPr>
        <w:t xml:space="preserve">养结合服务中心 </w:t>
      </w:r>
      <w:r>
        <w:rPr>
          <w:rFonts w:hint="eastAsia"/>
          <w:color w:val="231F20"/>
          <w:sz w:val="32"/>
          <w:szCs w:val="24"/>
        </w:rPr>
        <w:t>1</w:t>
      </w:r>
      <w:r>
        <w:rPr>
          <w:rFonts w:hint="eastAsia"/>
          <w:color w:val="231F20"/>
          <w:spacing w:val="1"/>
          <w:sz w:val="32"/>
          <w:szCs w:val="24"/>
        </w:rPr>
        <w:t xml:space="preserve"> 所；为老年人提供集中和专业照护服务的</w:t>
      </w:r>
      <w:r>
        <w:rPr>
          <w:rFonts w:hint="eastAsia"/>
          <w:color w:val="231F20"/>
          <w:spacing w:val="-16"/>
          <w:sz w:val="32"/>
          <w:szCs w:val="24"/>
        </w:rPr>
        <w:t xml:space="preserve">医护人员 </w:t>
      </w:r>
      <w:r>
        <w:rPr>
          <w:rFonts w:hint="eastAsia"/>
          <w:color w:val="231F20"/>
          <w:sz w:val="32"/>
          <w:szCs w:val="24"/>
        </w:rPr>
        <w:t>120</w:t>
      </w:r>
      <w:r>
        <w:rPr>
          <w:rFonts w:hint="eastAsia"/>
          <w:color w:val="231F20"/>
          <w:spacing w:val="-27"/>
          <w:sz w:val="32"/>
          <w:szCs w:val="24"/>
        </w:rPr>
        <w:t xml:space="preserve"> 名。</w:t>
      </w:r>
    </w:p>
    <w:p>
      <w:pPr>
        <w:pStyle w:val="3"/>
        <w:kinsoku w:val="0"/>
        <w:overflowPunct w:val="0"/>
        <w:ind w:left="0"/>
        <w:rPr>
          <w:rFonts w:hint="eastAsia"/>
          <w:sz w:val="12"/>
          <w:szCs w:val="24"/>
        </w:rPr>
      </w:pPr>
    </w:p>
    <w:p>
      <w:pPr>
        <w:pStyle w:val="3"/>
        <w:kinsoku w:val="0"/>
        <w:overflowPunct w:val="0"/>
        <w:spacing w:before="28"/>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六、促进中医药传承创新发展</w:t>
      </w:r>
    </w:p>
    <w:p>
      <w:pPr>
        <w:pStyle w:val="3"/>
        <w:kinsoku w:val="0"/>
        <w:overflowPunct w:val="0"/>
        <w:spacing w:before="97" w:line="328" w:lineRule="auto"/>
        <w:ind w:right="121" w:firstLine="680"/>
        <w:jc w:val="both"/>
        <w:rPr>
          <w:rFonts w:hint="eastAsia"/>
          <w:color w:val="231F20"/>
          <w:spacing w:val="-7"/>
          <w:sz w:val="32"/>
          <w:szCs w:val="24"/>
        </w:rPr>
      </w:pPr>
      <w:r>
        <w:rPr>
          <w:rFonts w:hint="default" w:ascii="楷体_GB2312" w:hAnsi="楷体_GB2312" w:eastAsia="楷体_GB2312"/>
          <w:color w:val="231F20"/>
          <w:sz w:val="32"/>
          <w:szCs w:val="24"/>
        </w:rPr>
        <w:t>（二十六）</w:t>
      </w:r>
      <w:r>
        <w:rPr>
          <w:rFonts w:hint="default" w:ascii="楷体_GB2312" w:hAnsi="楷体_GB2312" w:eastAsia="楷体_GB2312"/>
          <w:color w:val="231F20"/>
          <w:spacing w:val="-1"/>
          <w:sz w:val="32"/>
          <w:szCs w:val="24"/>
        </w:rPr>
        <w:t>健全中医医疗服务网络。</w:t>
      </w:r>
      <w:r>
        <w:rPr>
          <w:rFonts w:hint="eastAsia"/>
          <w:color w:val="231F20"/>
          <w:sz w:val="32"/>
          <w:szCs w:val="24"/>
        </w:rPr>
        <w:t>全面建成以中医医院为主体、综合医院等其他类别医院中医科室为骨干、基层医疗卫生机构为基础、中医门诊部和诊所为补充、覆盖城乡的中医</w:t>
      </w:r>
      <w:r>
        <w:rPr>
          <w:rFonts w:hint="eastAsia"/>
          <w:color w:val="231F20"/>
          <w:spacing w:val="1"/>
          <w:sz w:val="32"/>
          <w:szCs w:val="24"/>
        </w:rPr>
        <w:t>医疗服务网络。在区域卫生资源配置规划中合理配置中医药资</w:t>
      </w:r>
      <w:r>
        <w:rPr>
          <w:rFonts w:hint="eastAsia"/>
          <w:color w:val="231F20"/>
          <w:spacing w:val="-23"/>
          <w:sz w:val="32"/>
          <w:szCs w:val="24"/>
        </w:rPr>
        <w:t xml:space="preserve">源，办好 </w:t>
      </w:r>
      <w:r>
        <w:rPr>
          <w:rFonts w:hint="eastAsia"/>
          <w:color w:val="231F20"/>
          <w:sz w:val="32"/>
          <w:szCs w:val="24"/>
        </w:rPr>
        <w:t>1</w:t>
      </w:r>
      <w:r>
        <w:rPr>
          <w:rFonts w:hint="eastAsia"/>
          <w:color w:val="231F20"/>
          <w:spacing w:val="-16"/>
          <w:sz w:val="32"/>
          <w:szCs w:val="24"/>
        </w:rPr>
        <w:t xml:space="preserve"> 所二级甲等以上中医医院、</w:t>
      </w:r>
      <w:r>
        <w:rPr>
          <w:rFonts w:hint="eastAsia"/>
          <w:color w:val="231F20"/>
          <w:sz w:val="32"/>
          <w:szCs w:val="24"/>
        </w:rPr>
        <w:t>1</w:t>
      </w:r>
      <w:r>
        <w:rPr>
          <w:rFonts w:hint="eastAsia"/>
          <w:color w:val="231F20"/>
          <w:spacing w:val="-16"/>
          <w:sz w:val="32"/>
          <w:szCs w:val="24"/>
        </w:rPr>
        <w:t xml:space="preserve"> 所二级甲等中西医结合</w:t>
      </w:r>
      <w:r>
        <w:rPr>
          <w:rFonts w:hint="eastAsia"/>
          <w:color w:val="231F20"/>
          <w:spacing w:val="-2"/>
          <w:sz w:val="32"/>
          <w:szCs w:val="24"/>
        </w:rPr>
        <w:t>医院。综合医院、妇幼保健院全部设置中医科、中药房；社区</w:t>
      </w:r>
      <w:r>
        <w:rPr>
          <w:rFonts w:hint="eastAsia"/>
          <w:color w:val="231F20"/>
          <w:spacing w:val="2"/>
          <w:sz w:val="32"/>
          <w:szCs w:val="24"/>
        </w:rPr>
        <w:t>卫生服务中心</w:t>
      </w:r>
      <w:r>
        <w:rPr>
          <w:rFonts w:hint="eastAsia"/>
          <w:color w:val="231F20"/>
          <w:spacing w:val="4"/>
          <w:sz w:val="32"/>
          <w:szCs w:val="24"/>
        </w:rPr>
        <w:t>（</w:t>
      </w:r>
      <w:r>
        <w:rPr>
          <w:rFonts w:hint="eastAsia"/>
          <w:color w:val="231F20"/>
          <w:spacing w:val="3"/>
          <w:sz w:val="32"/>
          <w:szCs w:val="24"/>
        </w:rPr>
        <w:t>乡镇卫生院</w:t>
      </w:r>
      <w:r>
        <w:rPr>
          <w:rFonts w:hint="eastAsia"/>
          <w:color w:val="231F20"/>
          <w:spacing w:val="4"/>
          <w:sz w:val="32"/>
          <w:szCs w:val="24"/>
        </w:rPr>
        <w:t>）</w:t>
      </w:r>
      <w:r>
        <w:rPr>
          <w:rFonts w:hint="eastAsia"/>
          <w:color w:val="231F20"/>
          <w:spacing w:val="2"/>
          <w:sz w:val="32"/>
          <w:szCs w:val="24"/>
        </w:rPr>
        <w:t>全部建立中医馆，配备中医药专</w:t>
      </w:r>
      <w:r>
        <w:rPr>
          <w:rFonts w:hint="eastAsia"/>
          <w:color w:val="231F20"/>
          <w:spacing w:val="-21"/>
          <w:sz w:val="32"/>
          <w:szCs w:val="24"/>
        </w:rPr>
        <w:t>业人员；所有社区卫生服务站</w:t>
      </w:r>
      <w:r>
        <w:rPr>
          <w:rFonts w:hint="eastAsia"/>
          <w:color w:val="231F20"/>
          <w:spacing w:val="-7"/>
          <w:sz w:val="32"/>
          <w:szCs w:val="24"/>
        </w:rPr>
        <w:t>（村卫生室</w:t>
      </w:r>
      <w:r>
        <w:rPr>
          <w:rFonts w:hint="eastAsia"/>
          <w:color w:val="231F20"/>
          <w:spacing w:val="-77"/>
          <w:sz w:val="32"/>
          <w:szCs w:val="24"/>
        </w:rPr>
        <w:t>）</w:t>
      </w:r>
      <w:r>
        <w:rPr>
          <w:rFonts w:hint="eastAsia"/>
          <w:color w:val="231F20"/>
          <w:spacing w:val="-7"/>
          <w:sz w:val="32"/>
          <w:szCs w:val="24"/>
        </w:rPr>
        <w:t>能够提供中医药服务。</w:t>
      </w:r>
    </w:p>
    <w:p>
      <w:pPr>
        <w:pStyle w:val="3"/>
        <w:kinsoku w:val="0"/>
        <w:overflowPunct w:val="0"/>
        <w:spacing w:before="97" w:line="328" w:lineRule="auto"/>
        <w:ind w:right="121" w:firstLine="680"/>
        <w:jc w:val="both"/>
        <w:rPr>
          <w:rFonts w:hint="eastAsia"/>
          <w:color w:val="231F20"/>
          <w:spacing w:val="-7"/>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68" w:firstLine="680"/>
        <w:jc w:val="both"/>
        <w:rPr>
          <w:rFonts w:hint="eastAsia"/>
          <w:color w:val="231F20"/>
          <w:sz w:val="32"/>
          <w:szCs w:val="24"/>
        </w:rPr>
      </w:pPr>
      <w:r>
        <w:rPr>
          <w:rFonts w:hint="default" w:ascii="楷体_GB2312" w:hAnsi="楷体_GB2312" w:eastAsia="楷体_GB2312"/>
          <w:color w:val="231F20"/>
          <w:sz w:val="32"/>
          <w:szCs w:val="24"/>
        </w:rPr>
        <w:t>（二十七）提升中医药服务能力。</w:t>
      </w:r>
      <w:r>
        <w:rPr>
          <w:rFonts w:hint="eastAsia"/>
          <w:color w:val="231F20"/>
          <w:sz w:val="32"/>
          <w:szCs w:val="24"/>
        </w:rPr>
        <w:t>全面提升中医药在治未病、慢性病和常见病干预、各类传染病防治、预防保健服务等方面的能力和效果，做到未病先防、既病防变、愈后防复发。</w:t>
      </w:r>
      <w:r>
        <w:rPr>
          <w:rFonts w:hint="eastAsia"/>
          <w:color w:val="231F20"/>
          <w:spacing w:val="2"/>
          <w:sz w:val="32"/>
          <w:szCs w:val="24"/>
        </w:rPr>
        <w:t>依托新区第一人民医院建设区域中医</w:t>
      </w:r>
      <w:r>
        <w:rPr>
          <w:rFonts w:hint="eastAsia"/>
          <w:color w:val="231F20"/>
          <w:spacing w:val="3"/>
          <w:sz w:val="32"/>
          <w:szCs w:val="24"/>
        </w:rPr>
        <w:t>（</w:t>
      </w:r>
      <w:r>
        <w:rPr>
          <w:rFonts w:hint="eastAsia"/>
          <w:color w:val="231F20"/>
          <w:spacing w:val="1"/>
          <w:sz w:val="32"/>
          <w:szCs w:val="24"/>
        </w:rPr>
        <w:t>专科</w:t>
      </w:r>
      <w:r>
        <w:rPr>
          <w:rFonts w:hint="eastAsia"/>
          <w:color w:val="231F20"/>
          <w:spacing w:val="3"/>
          <w:sz w:val="32"/>
          <w:szCs w:val="24"/>
        </w:rPr>
        <w:t>）</w:t>
      </w:r>
      <w:r>
        <w:rPr>
          <w:rFonts w:hint="eastAsia"/>
          <w:color w:val="231F20"/>
          <w:spacing w:val="2"/>
          <w:sz w:val="32"/>
          <w:szCs w:val="24"/>
        </w:rPr>
        <w:t>医疗中心、中医</w:t>
      </w:r>
      <w:r>
        <w:rPr>
          <w:rFonts w:hint="eastAsia"/>
          <w:color w:val="231F20"/>
          <w:spacing w:val="1"/>
          <w:sz w:val="32"/>
          <w:szCs w:val="24"/>
        </w:rPr>
        <w:t>康复中心和中医治未病中心，实施中医服务能力提升和中医应</w:t>
      </w:r>
      <w:r>
        <w:rPr>
          <w:rFonts w:hint="eastAsia"/>
          <w:color w:val="231F20"/>
          <w:sz w:val="32"/>
          <w:szCs w:val="24"/>
        </w:rPr>
        <w:t>急救治能力建设项目。开展乡镇卫生院中医综合诊疗区</w:t>
      </w:r>
      <w:r>
        <w:rPr>
          <w:rFonts w:hint="eastAsia"/>
          <w:color w:val="231F20"/>
          <w:spacing w:val="3"/>
          <w:sz w:val="32"/>
          <w:szCs w:val="24"/>
        </w:rPr>
        <w:t>（中医</w:t>
      </w:r>
      <w:r>
        <w:rPr>
          <w:rFonts w:hint="eastAsia"/>
          <w:color w:val="231F20"/>
          <w:sz w:val="32"/>
          <w:szCs w:val="24"/>
        </w:rPr>
        <w:t>馆</w:t>
      </w:r>
      <w:r>
        <w:rPr>
          <w:rFonts w:hint="eastAsia"/>
          <w:color w:val="231F20"/>
          <w:spacing w:val="3"/>
          <w:sz w:val="32"/>
          <w:szCs w:val="24"/>
        </w:rPr>
        <w:t>）</w:t>
      </w:r>
      <w:r>
        <w:rPr>
          <w:rFonts w:hint="eastAsia"/>
          <w:color w:val="231F20"/>
          <w:sz w:val="32"/>
          <w:szCs w:val="24"/>
        </w:rPr>
        <w:t>建设，推广普及中医药适宜技术。强化中医药重点专科建</w:t>
      </w:r>
      <w:r>
        <w:rPr>
          <w:rFonts w:hint="eastAsia"/>
          <w:color w:val="231F20"/>
          <w:spacing w:val="-1"/>
          <w:sz w:val="32"/>
          <w:szCs w:val="24"/>
        </w:rPr>
        <w:t>设，鼓励开展中西医联合诊疗，宜中则中、宜西则西，打造中</w:t>
      </w:r>
      <w:r>
        <w:rPr>
          <w:rFonts w:hint="eastAsia"/>
          <w:color w:val="231F20"/>
          <w:sz w:val="32"/>
          <w:szCs w:val="24"/>
        </w:rPr>
        <w:t>西医结合团队，临床、口腔、公共卫生类别医师每年中医药继</w:t>
      </w:r>
      <w:r>
        <w:rPr>
          <w:rFonts w:hint="eastAsia"/>
          <w:color w:val="231F20"/>
          <w:spacing w:val="-7"/>
          <w:sz w:val="32"/>
          <w:szCs w:val="24"/>
        </w:rPr>
        <w:t xml:space="preserve">续教育学分不少于 </w:t>
      </w:r>
      <w:r>
        <w:rPr>
          <w:rFonts w:hint="eastAsia"/>
          <w:color w:val="231F20"/>
          <w:sz w:val="32"/>
          <w:szCs w:val="24"/>
        </w:rPr>
        <w:t>5</w:t>
      </w:r>
      <w:r>
        <w:rPr>
          <w:rFonts w:hint="eastAsia"/>
          <w:color w:val="231F20"/>
          <w:spacing w:val="-7"/>
          <w:sz w:val="32"/>
          <w:szCs w:val="24"/>
        </w:rPr>
        <w:t xml:space="preserve"> 分。实施中医治未病健康工程、中西医协</w:t>
      </w:r>
      <w:r>
        <w:rPr>
          <w:rFonts w:hint="eastAsia"/>
          <w:color w:val="231F20"/>
          <w:spacing w:val="1"/>
          <w:sz w:val="32"/>
          <w:szCs w:val="24"/>
        </w:rPr>
        <w:t>作攻关工程、中医药康复服务能力提升工程、中医优势专科建</w:t>
      </w:r>
      <w:r>
        <w:rPr>
          <w:rFonts w:hint="eastAsia"/>
          <w:color w:val="231F20"/>
          <w:sz w:val="32"/>
          <w:szCs w:val="24"/>
        </w:rPr>
        <w:t>设工程。加强中医药人才队伍建设，实施国家中医药传承与创新百千万人才工程，开展五级中医药师承教育，实施名老中医药专家传承工作室建设和中医药实用型人才培训工作，加强中医药学术传承发展和中医毕业后教育工作，培养一批传承名医学术经验、掌握中医思维、实践能力强、中医临床疗效好的中医药人才。</w:t>
      </w:r>
    </w:p>
    <w:p>
      <w:pPr>
        <w:pStyle w:val="3"/>
        <w:kinsoku w:val="0"/>
        <w:overflowPunct w:val="0"/>
        <w:spacing w:line="381" w:lineRule="exact"/>
        <w:ind w:left="957"/>
        <w:rPr>
          <w:rFonts w:hint="eastAsia"/>
          <w:color w:val="231F20"/>
          <w:sz w:val="32"/>
          <w:szCs w:val="24"/>
        </w:rPr>
      </w:pPr>
      <w:r>
        <w:rPr>
          <w:rFonts w:hint="default" w:ascii="楷体_GB2312" w:hAnsi="楷体_GB2312" w:eastAsia="楷体_GB2312"/>
          <w:color w:val="231F20"/>
          <w:sz w:val="32"/>
          <w:szCs w:val="24"/>
        </w:rPr>
        <w:t>（二十八）加快推动中医药产业高质量发展。</w:t>
      </w:r>
      <w:r>
        <w:rPr>
          <w:rFonts w:hint="eastAsia"/>
          <w:color w:val="231F20"/>
          <w:sz w:val="32"/>
          <w:szCs w:val="24"/>
        </w:rPr>
        <w:t>出台并组织</w:t>
      </w:r>
    </w:p>
    <w:p>
      <w:pPr>
        <w:pStyle w:val="3"/>
        <w:kinsoku w:val="0"/>
        <w:overflowPunct w:val="0"/>
        <w:spacing w:before="150" w:line="328" w:lineRule="auto"/>
        <w:ind w:right="115"/>
        <w:rPr>
          <w:rFonts w:hint="eastAsia"/>
          <w:color w:val="231F20"/>
          <w:sz w:val="32"/>
          <w:szCs w:val="24"/>
        </w:rPr>
      </w:pPr>
      <w:r>
        <w:rPr>
          <w:rFonts w:hint="eastAsia"/>
          <w:color w:val="231F20"/>
          <w:sz w:val="32"/>
          <w:szCs w:val="24"/>
        </w:rPr>
        <w:t>实施《兰州新区中医药产业发展“十四五”规划》，巩固提升</w:t>
      </w:r>
      <w:r>
        <w:rPr>
          <w:rFonts w:hint="eastAsia"/>
          <w:color w:val="231F20"/>
          <w:spacing w:val="1"/>
          <w:sz w:val="32"/>
          <w:szCs w:val="24"/>
        </w:rPr>
        <w:t>中药材种植优势，大力发展中草药种子种苗繁育，建设中药种</w:t>
      </w:r>
      <w:r>
        <w:rPr>
          <w:rFonts w:hint="eastAsia"/>
          <w:color w:val="231F20"/>
          <w:spacing w:val="-3"/>
          <w:sz w:val="32"/>
          <w:szCs w:val="24"/>
        </w:rPr>
        <w:t xml:space="preserve">子种苗基地，中药材种植面积稳定在 </w:t>
      </w:r>
      <w:r>
        <w:rPr>
          <w:rFonts w:hint="eastAsia"/>
          <w:color w:val="231F20"/>
          <w:sz w:val="32"/>
          <w:szCs w:val="24"/>
        </w:rPr>
        <w:t>1</w:t>
      </w:r>
      <w:r>
        <w:rPr>
          <w:rFonts w:hint="eastAsia"/>
          <w:color w:val="231F20"/>
          <w:spacing w:val="-6"/>
          <w:sz w:val="32"/>
          <w:szCs w:val="24"/>
        </w:rPr>
        <w:t xml:space="preserve"> 万亩左右，建设优质药</w:t>
      </w:r>
      <w:r>
        <w:rPr>
          <w:rFonts w:hint="eastAsia"/>
          <w:color w:val="231F20"/>
          <w:spacing w:val="-1"/>
          <w:sz w:val="32"/>
          <w:szCs w:val="24"/>
        </w:rPr>
        <w:t xml:space="preserve">材标准化种植基地，标准化率达到 </w:t>
      </w:r>
      <w:r>
        <w:rPr>
          <w:rFonts w:hint="eastAsia"/>
          <w:color w:val="231F20"/>
          <w:sz w:val="32"/>
          <w:szCs w:val="24"/>
        </w:rPr>
        <w:t>45</w:t>
      </w:r>
      <w:r>
        <w:rPr>
          <w:rFonts w:hint="eastAsia"/>
          <w:color w:val="231F20"/>
          <w:spacing w:val="4"/>
          <w:sz w:val="32"/>
          <w:szCs w:val="24"/>
        </w:rPr>
        <w:t>%。做强中医药产品研发</w:t>
      </w:r>
      <w:r>
        <w:rPr>
          <w:rFonts w:hint="eastAsia"/>
          <w:color w:val="231F20"/>
          <w:spacing w:val="-8"/>
          <w:sz w:val="32"/>
          <w:szCs w:val="24"/>
        </w:rPr>
        <w:t xml:space="preserve">制造业。以中医药产业园建设工程为抓手，推进实施“强制造” </w:t>
      </w:r>
      <w:r>
        <w:rPr>
          <w:rFonts w:hint="eastAsia"/>
          <w:color w:val="231F20"/>
          <w:sz w:val="32"/>
          <w:szCs w:val="24"/>
        </w:rPr>
        <w:t>计划，构建以中药配方颗粒为品牌、中成药为重点、中医药衍</w:t>
      </w:r>
    </w:p>
    <w:p>
      <w:pPr>
        <w:pStyle w:val="3"/>
        <w:kinsoku w:val="0"/>
        <w:overflowPunct w:val="0"/>
        <w:spacing w:before="150" w:line="328" w:lineRule="auto"/>
        <w:ind w:right="115"/>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70"/>
        <w:jc w:val="both"/>
        <w:rPr>
          <w:rFonts w:hint="eastAsia"/>
          <w:color w:val="231F20"/>
          <w:sz w:val="32"/>
          <w:szCs w:val="24"/>
        </w:rPr>
      </w:pPr>
      <w:r>
        <w:rPr>
          <w:rFonts w:hint="eastAsia"/>
          <w:color w:val="231F20"/>
          <w:sz w:val="32"/>
          <w:szCs w:val="24"/>
        </w:rPr>
        <w:t>生品为补充、中药饮片为支撑的中医药产品研发制造新格局， 培育陇药大品种大品牌，提升企业综合实力和核心竞争力，支持中药生产企业产业升级改造。搭建省内外对接平台，推动佛慈制药、和盛堂制药、兰药制药等医药骨干企业与省内外科研机构合作，促进企业发挥制药龙头作用，增强新药研发能力和技术创新能力，提高优势产品的技术水平和质量标准。充分利用国家中医药综合试验区平台，加快新区中医药产业园区和西部药谷建设，支持园区企业和中医药重大项目建设。加大中药质量监管，完善中药材流通标准体系建设，发展壮大中医药商贸服务业，扩大医药产业对外贸易，加强中医药产业服务贸易和招商引资工作。促进新区中医药健康与旅游融合发展，建设新区中医药健康旅游示范基地。</w:t>
      </w:r>
    </w:p>
    <w:p>
      <w:pPr>
        <w:pStyle w:val="3"/>
        <w:kinsoku w:val="0"/>
        <w:overflowPunct w:val="0"/>
        <w:spacing w:line="390" w:lineRule="exact"/>
        <w:ind w:left="957"/>
        <w:rPr>
          <w:rFonts w:hint="eastAsia"/>
          <w:color w:val="231F20"/>
          <w:sz w:val="32"/>
          <w:szCs w:val="24"/>
        </w:rPr>
      </w:pPr>
      <w:r>
        <w:rPr>
          <w:rFonts w:hint="default" w:ascii="楷体_GB2312" w:hAnsi="楷体_GB2312" w:eastAsia="楷体_GB2312"/>
          <w:color w:val="231F20"/>
          <w:sz w:val="32"/>
          <w:szCs w:val="24"/>
        </w:rPr>
        <w:t>（二十九）增强中医药文化自信。</w:t>
      </w:r>
      <w:r>
        <w:rPr>
          <w:rFonts w:hint="eastAsia"/>
          <w:color w:val="231F20"/>
          <w:sz w:val="32"/>
          <w:szCs w:val="24"/>
        </w:rPr>
        <w:t>加强中医药文化研究，</w:t>
      </w:r>
    </w:p>
    <w:p>
      <w:pPr>
        <w:pStyle w:val="3"/>
        <w:kinsoku w:val="0"/>
        <w:overflowPunct w:val="0"/>
        <w:spacing w:before="150" w:line="328" w:lineRule="auto"/>
        <w:ind w:right="268"/>
        <w:jc w:val="both"/>
        <w:rPr>
          <w:rFonts w:hint="eastAsia"/>
          <w:color w:val="231F20"/>
          <w:sz w:val="32"/>
          <w:szCs w:val="24"/>
        </w:rPr>
      </w:pPr>
      <w:r>
        <w:rPr>
          <w:rFonts w:hint="eastAsia"/>
          <w:color w:val="231F20"/>
          <w:spacing w:val="1"/>
          <w:sz w:val="32"/>
          <w:szCs w:val="24"/>
        </w:rPr>
        <w:t>全面系统梳理与深入研究甘肃省古今中医药名家的思想理念、</w:t>
      </w:r>
      <w:r>
        <w:rPr>
          <w:rFonts w:hint="eastAsia"/>
          <w:color w:val="231F20"/>
          <w:sz w:val="32"/>
          <w:szCs w:val="24"/>
        </w:rPr>
        <w:t>经典验方、临床经验及特色诊疗技术，加强中医药古籍文献、</w:t>
      </w:r>
      <w:r>
        <w:rPr>
          <w:rFonts w:hint="eastAsia"/>
          <w:color w:val="231F20"/>
          <w:spacing w:val="1"/>
          <w:sz w:val="32"/>
          <w:szCs w:val="24"/>
        </w:rPr>
        <w:t>医家医案、传统制药技术经验等研究。挖掘保护中医药文化资</w:t>
      </w:r>
      <w:r>
        <w:rPr>
          <w:rFonts w:hint="eastAsia"/>
          <w:color w:val="231F20"/>
          <w:spacing w:val="-1"/>
          <w:sz w:val="32"/>
          <w:szCs w:val="24"/>
        </w:rPr>
        <w:t>源，加强对岐伯、封衡、皇甫谧等历代甘肃籍名医的宣传，选树当代国医妙手典型，大力倡导“大医精诚”理念，全面动员</w:t>
      </w:r>
      <w:r>
        <w:rPr>
          <w:rFonts w:hint="eastAsia"/>
          <w:color w:val="231F20"/>
          <w:spacing w:val="1"/>
          <w:sz w:val="32"/>
          <w:szCs w:val="24"/>
        </w:rPr>
        <w:t>中医药健康产业从业人员加强中医药文化学习。紧抓“丝绸之</w:t>
      </w:r>
      <w:r>
        <w:rPr>
          <w:rFonts w:hint="eastAsia"/>
          <w:color w:val="231F20"/>
          <w:sz w:val="32"/>
          <w:szCs w:val="24"/>
        </w:rPr>
        <w:t>路</w:t>
      </w:r>
      <w:r>
        <w:rPr>
          <w:rFonts w:hint="eastAsia"/>
          <w:color w:val="231F20"/>
          <w:spacing w:val="3"/>
          <w:sz w:val="32"/>
          <w:szCs w:val="24"/>
        </w:rPr>
        <w:t>（</w:t>
      </w:r>
      <w:r>
        <w:rPr>
          <w:rFonts w:hint="eastAsia"/>
          <w:color w:val="231F20"/>
          <w:spacing w:val="1"/>
          <w:sz w:val="32"/>
          <w:szCs w:val="24"/>
        </w:rPr>
        <w:t>敦煌</w:t>
      </w:r>
      <w:r>
        <w:rPr>
          <w:rFonts w:hint="eastAsia"/>
          <w:color w:val="231F20"/>
          <w:spacing w:val="3"/>
          <w:sz w:val="32"/>
          <w:szCs w:val="24"/>
        </w:rPr>
        <w:t>）</w:t>
      </w:r>
      <w:r>
        <w:rPr>
          <w:rFonts w:hint="eastAsia"/>
          <w:color w:val="231F20"/>
          <w:spacing w:val="1"/>
          <w:sz w:val="32"/>
          <w:szCs w:val="24"/>
        </w:rPr>
        <w:t>国际文化博览会”机遇，举办新区中医药文化研究</w:t>
      </w:r>
      <w:r>
        <w:rPr>
          <w:rFonts w:hint="eastAsia"/>
          <w:color w:val="231F20"/>
          <w:sz w:val="32"/>
          <w:szCs w:val="24"/>
        </w:rPr>
        <w:t>与应用交流会，推进中医药文化传承与发展。推进中医药文化交流融合，重点强化与中亚、东亚、非洲等地区传统医药文化交流，推进中医药文化与中华传统文化相互渗透，注重中医药文化传承与现代科技创新，推进中医药文化传承传播融入中医</w:t>
      </w:r>
    </w:p>
    <w:p>
      <w:pPr>
        <w:pStyle w:val="3"/>
        <w:kinsoku w:val="0"/>
        <w:overflowPunct w:val="0"/>
        <w:spacing w:before="150" w:line="328" w:lineRule="auto"/>
        <w:ind w:right="268"/>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115"/>
        <w:rPr>
          <w:rFonts w:hint="eastAsia"/>
          <w:color w:val="231F20"/>
          <w:sz w:val="32"/>
          <w:szCs w:val="24"/>
        </w:rPr>
      </w:pPr>
      <w:r>
        <w:rPr>
          <w:rFonts w:hint="eastAsia"/>
          <w:color w:val="231F20"/>
          <w:sz w:val="32"/>
          <w:szCs w:val="24"/>
        </w:rPr>
        <w:t xml:space="preserve">药健康产业链各环节。充分发挥新冠肺炎“甘肃方剂”优势， </w:t>
      </w:r>
      <w:r>
        <w:rPr>
          <w:rFonts w:hint="eastAsia"/>
          <w:color w:val="231F20"/>
          <w:spacing w:val="2"/>
          <w:sz w:val="32"/>
          <w:szCs w:val="24"/>
        </w:rPr>
        <w:t>营造中医药健康文化氛围，积极开展中医药健康宣传与知识普</w:t>
      </w:r>
      <w:r>
        <w:rPr>
          <w:rFonts w:hint="eastAsia"/>
          <w:color w:val="231F20"/>
          <w:sz w:val="32"/>
          <w:szCs w:val="24"/>
        </w:rPr>
        <w:t>及，让中医药文化教育进入中小学课堂，建立覆盖全域的中医</w:t>
      </w:r>
      <w:r>
        <w:rPr>
          <w:rFonts w:hint="eastAsia"/>
          <w:color w:val="231F20"/>
          <w:spacing w:val="-7"/>
          <w:sz w:val="32"/>
          <w:szCs w:val="24"/>
        </w:rPr>
        <w:t xml:space="preserve">药文化教育服务体系，形成全社会“信中医、爱中医、用中医” </w:t>
      </w:r>
      <w:r>
        <w:rPr>
          <w:rFonts w:hint="eastAsia"/>
          <w:color w:val="231F20"/>
          <w:sz w:val="32"/>
          <w:szCs w:val="24"/>
        </w:rPr>
        <w:t>的浓厚氛围。</w:t>
      </w:r>
    </w:p>
    <w:p>
      <w:pPr>
        <w:pStyle w:val="3"/>
        <w:kinsoku w:val="0"/>
        <w:overflowPunct w:val="0"/>
        <w:spacing w:before="5"/>
        <w:ind w:left="0"/>
        <w:rPr>
          <w:rFonts w:hint="eastAsia"/>
          <w:sz w:val="21"/>
          <w:szCs w:val="24"/>
        </w:rPr>
      </w:pPr>
    </w:p>
    <w:p>
      <w:pPr>
        <w:pStyle w:val="3"/>
        <w:kinsoku w:val="0"/>
        <w:overflowPunct w:val="0"/>
        <w:spacing w:before="27"/>
        <w:ind w:left="91" w:right="78"/>
        <w:jc w:val="center"/>
        <w:rPr>
          <w:rFonts w:hint="default" w:ascii="方正黑体简体" w:hAnsi="方正黑体简体" w:eastAsia="方正黑体简体"/>
          <w:color w:val="231F20"/>
          <w:sz w:val="32"/>
          <w:szCs w:val="24"/>
        </w:rPr>
      </w:pPr>
      <w:r>
        <w:rPr>
          <w:rFonts w:hint="default"/>
          <w:sz w:val="21"/>
          <w:szCs w:val="24"/>
        </w:rPr>
        <mc:AlternateContent>
          <mc:Choice Requires="wpg">
            <w:drawing>
              <wp:anchor distT="0" distB="0" distL="114300" distR="114300" simplePos="0" relativeHeight="251663360" behindDoc="1" locked="0" layoutInCell="1" allowOverlap="1">
                <wp:simplePos x="0" y="0"/>
                <wp:positionH relativeFrom="page">
                  <wp:posOffset>1115695</wp:posOffset>
                </wp:positionH>
                <wp:positionV relativeFrom="paragraph">
                  <wp:posOffset>-182880</wp:posOffset>
                </wp:positionV>
                <wp:extent cx="5551805" cy="4625975"/>
                <wp:effectExtent l="0" t="8255" r="0" b="11430"/>
                <wp:wrapNone/>
                <wp:docPr id="29" name="组合 26"/>
                <wp:cNvGraphicFramePr/>
                <a:graphic xmlns:a="http://schemas.openxmlformats.org/drawingml/2006/main">
                  <a:graphicData uri="http://schemas.microsoft.com/office/word/2010/wordprocessingGroup">
                    <wpg:wgp>
                      <wpg:cNvGrpSpPr/>
                      <wpg:grpSpPr>
                        <a:xfrm>
                          <a:off x="0" y="0"/>
                          <a:ext cx="5551805" cy="4625975"/>
                          <a:chOff x="1757" y="-275"/>
                          <a:chExt cx="8750" cy="7278"/>
                        </a:xfrm>
                      </wpg:grpSpPr>
                      <wps:wsp>
                        <wps:cNvPr id="25" name="任意多边形 27"/>
                        <wps:cNvSpPr/>
                        <wps:spPr>
                          <a:xfrm>
                            <a:off x="1757" y="-275"/>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s:wsp>
                        <wps:cNvPr id="26" name="任意多边形 28"/>
                        <wps:cNvSpPr/>
                        <wps:spPr>
                          <a:xfrm>
                            <a:off x="1770" y="-262"/>
                            <a:ext cx="20" cy="7233"/>
                          </a:xfrm>
                          <a:custGeom>
                            <a:avLst/>
                            <a:gdLst/>
                            <a:ahLst/>
                            <a:cxnLst/>
                            <a:pathLst>
                              <a:path w="20" h="7233">
                                <a:moveTo>
                                  <a:pt x="0" y="7233"/>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27" name="任意多边形 29"/>
                        <wps:cNvSpPr/>
                        <wps:spPr>
                          <a:xfrm>
                            <a:off x="10487" y="-262"/>
                            <a:ext cx="20" cy="7233"/>
                          </a:xfrm>
                          <a:custGeom>
                            <a:avLst/>
                            <a:gdLst/>
                            <a:ahLst/>
                            <a:cxnLst/>
                            <a:pathLst>
                              <a:path w="20" h="7233">
                                <a:moveTo>
                                  <a:pt x="0" y="7233"/>
                                </a:moveTo>
                                <a:lnTo>
                                  <a:pt x="0" y="0"/>
                                </a:lnTo>
                              </a:path>
                            </a:pathLst>
                          </a:custGeom>
                          <a:noFill/>
                          <a:ln w="16510" cap="flat" cmpd="sng">
                            <a:solidFill>
                              <a:srgbClr val="231F20"/>
                            </a:solidFill>
                            <a:prstDash val="solid"/>
                            <a:headEnd type="none" w="med" len="med"/>
                            <a:tailEnd type="none" w="med" len="med"/>
                          </a:ln>
                        </wps:spPr>
                        <wps:bodyPr wrap="square" upright="true"/>
                      </wps:wsp>
                      <wps:wsp>
                        <wps:cNvPr id="28" name="任意多边形 30"/>
                        <wps:cNvSpPr/>
                        <wps:spPr>
                          <a:xfrm>
                            <a:off x="1757" y="6983"/>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wrap="square" upright="true"/>
                      </wps:wsp>
                    </wpg:wgp>
                  </a:graphicData>
                </a:graphic>
              </wp:anchor>
            </w:drawing>
          </mc:Choice>
          <mc:Fallback>
            <w:pict>
              <v:group id="组合 26" o:spid="_x0000_s1026" o:spt="203" style="position:absolute;left:0pt;margin-left:87.85pt;margin-top:-14.4pt;height:364.25pt;width:437.15pt;mso-position-horizontal-relative:page;z-index:-251653120;mso-width-relative:page;mso-height-relative:page;" coordorigin="1757,-275" coordsize="8750,7278" o:gfxdata="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FgAAAGRycy9QSwECFAAUAAAACACHTuJAZvBFJdsA&#10;AAAMAQAADwAAAAAAAAABACAAAAA4AAAAZHJzL2Rvd25yZXYueG1sUEsBAhQAFAAAAAgAh07iQMyf&#10;3ykjAwAA0A0AAA4AAAAAAAAAAQAgAAAAQAEAAGRycy9lMm9Eb2MueG1sUEsFBgAAAAAGAAYAWQEA&#10;ANUGAAAAAA==&#10;">
                <o:lock v:ext="edit" aspectratio="f"/>
                <v:shape id="任意多边形 27" o:spid="_x0000_s1026" o:spt="100" style="position:absolute;left:1757;top:-275;height:20;width:8743;" filled="f" stroked="t" coordsize="8743,20" o:gfxdata="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0r6r0AAADbAAAADwAAAAAAAAABACAAAAA4AAAAZHJzL2Rvd25yZXYu&#10;eG1sUEsBAhQAFAAAAAgAh07iQDMvBZ47AAAAOQAAABAAAAAAAAAAAQAgAAAAIgEAAGRycy9zaGFw&#10;ZXhtbC54bWxQSwUGAAAAAAYABgBbAQAAzAMAAAAA&#10;" path="m0,0l8742,0e">
                  <v:fill on="f" focussize="0,0"/>
                  <v:stroke weight="1.3pt" color="#231F20" joinstyle="round"/>
                  <v:imagedata o:title=""/>
                  <o:lock v:ext="edit" aspectratio="f"/>
                </v:shape>
                <v:shape id="任意多边形 28" o:spid="_x0000_s1026" o:spt="100" style="position:absolute;left:1770;top:-262;height:7233;width:20;" filled="f" stroked="t" coordsize="20,7233" o:gfxdata="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f3h/b0AAADbAAAADwAAAAAAAAABACAAAAA4AAAAZHJzL2Rvd25yZXYu&#10;eG1sUEsBAhQAFAAAAAgAh07iQDMvBZ47AAAAOQAAABAAAAAAAAAAAQAgAAAAIgEAAGRycy9zaGFw&#10;ZXhtbC54bWxQSwUGAAAAAAYABgBbAQAAzAMAAAAA&#10;" path="m0,7233l0,0e">
                  <v:fill on="f" focussize="0,0"/>
                  <v:stroke weight="1.3pt" color="#231F20" joinstyle="round"/>
                  <v:imagedata o:title=""/>
                  <o:lock v:ext="edit" aspectratio="f"/>
                </v:shape>
                <v:shape id="任意多边形 29" o:spid="_x0000_s1026" o:spt="100" style="position:absolute;left:10487;top:-262;height:7233;width:20;" filled="f" stroked="t" coordsize="20,7233" o:gfxdata="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rFEZr0AAADbAAAADwAAAAAAAAABACAAAAA4AAAAZHJzL2Rvd25yZXYu&#10;eG1sUEsBAhQAFAAAAAgAh07iQDMvBZ47AAAAOQAAABAAAAAAAAAAAQAgAAAAIgEAAGRycy9zaGFw&#10;ZXhtbC54bWxQSwUGAAAAAAYABgBbAQAAzAMAAAAA&#10;" path="m0,7233l0,0e">
                  <v:fill on="f" focussize="0,0"/>
                  <v:stroke weight="1.3pt" color="#231F20" joinstyle="round"/>
                  <v:imagedata o:title=""/>
                  <o:lock v:ext="edit" aspectratio="f"/>
                </v:shape>
                <v:shape id="任意多边形 30" o:spid="_x0000_s1026" o:spt="100" style="position:absolute;left:1757;top:6983;height:20;width:8743;" filled="f" stroked="t" coordsize="8743,20" o:gfxdata="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ELIR0uQAAANsAAAAPAAAAAAAAAAEAIAAAADgAAABkcnMvZG93bnJldi54bWxQ&#10;SwECFAAUAAAACACHTuJAMy8FnjsAAAA5AAAAEAAAAAAAAAABACAAAAAeAQAAZHJzL3NoYXBleG1s&#10;LnhtbFBLBQYAAAAABgAGAFsBAADIAwAAAAA=&#10;" path="m0,0l8742,0e">
                  <v:fill on="f" focussize="0,0"/>
                  <v:stroke weight="1.3pt" color="#231F20" joinstyle="round"/>
                  <v:imagedata o:title=""/>
                  <o:lock v:ext="edit" aspectratio="f"/>
                </v:shape>
              </v:group>
            </w:pict>
          </mc:Fallback>
        </mc:AlternateContent>
      </w:r>
      <w:r>
        <w:rPr>
          <w:rFonts w:hint="default" w:ascii="方正黑体简体" w:hAnsi="方正黑体简体" w:eastAsia="方正黑体简体"/>
          <w:color w:val="231F20"/>
          <w:sz w:val="32"/>
          <w:szCs w:val="24"/>
        </w:rPr>
        <w:t>专栏 6：促进中医药传承创新发展</w:t>
      </w:r>
    </w:p>
    <w:p>
      <w:pPr>
        <w:pStyle w:val="7"/>
        <w:numPr>
          <w:ilvl w:val="0"/>
          <w:numId w:val="5"/>
        </w:numPr>
        <w:tabs>
          <w:tab w:val="left" w:pos="1430"/>
        </w:tabs>
        <w:kinsoku w:val="0"/>
        <w:overflowPunct w:val="0"/>
        <w:spacing w:before="97" w:line="328" w:lineRule="auto"/>
        <w:ind w:left="347" w:right="318" w:firstLine="680"/>
        <w:rPr>
          <w:rFonts w:hint="eastAsia"/>
          <w:color w:val="231F20"/>
          <w:sz w:val="32"/>
          <w:szCs w:val="24"/>
        </w:rPr>
      </w:pPr>
      <w:r>
        <w:rPr>
          <w:rFonts w:hint="eastAsia"/>
          <w:color w:val="231F20"/>
          <w:sz w:val="32"/>
          <w:szCs w:val="24"/>
        </w:rPr>
        <w:t>持续完善中医药服务体系：办好 1</w:t>
      </w:r>
      <w:r>
        <w:rPr>
          <w:rFonts w:hint="eastAsia"/>
          <w:color w:val="231F20"/>
          <w:spacing w:val="-3"/>
          <w:sz w:val="32"/>
          <w:szCs w:val="24"/>
        </w:rPr>
        <w:t xml:space="preserve"> 所二级甲等以上公</w:t>
      </w:r>
      <w:r>
        <w:rPr>
          <w:rFonts w:hint="eastAsia"/>
          <w:color w:val="231F20"/>
          <w:spacing w:val="10"/>
          <w:sz w:val="32"/>
          <w:szCs w:val="24"/>
        </w:rPr>
        <w:t>立中医医院、</w:t>
      </w:r>
      <w:r>
        <w:rPr>
          <w:rFonts w:hint="eastAsia"/>
          <w:color w:val="231F20"/>
          <w:sz w:val="32"/>
          <w:szCs w:val="24"/>
        </w:rPr>
        <w:t>1</w:t>
      </w:r>
      <w:r>
        <w:rPr>
          <w:rFonts w:hint="eastAsia"/>
          <w:color w:val="231F20"/>
          <w:spacing w:val="2"/>
          <w:sz w:val="32"/>
          <w:szCs w:val="24"/>
        </w:rPr>
        <w:t xml:space="preserve"> 所二级甲等公立中西医结合医院。</w:t>
      </w:r>
      <w:r>
        <w:rPr>
          <w:rFonts w:hint="eastAsia"/>
          <w:color w:val="231F20"/>
          <w:sz w:val="32"/>
          <w:szCs w:val="24"/>
        </w:rPr>
        <w:t>100%</w:t>
      </w:r>
      <w:r>
        <w:rPr>
          <w:rFonts w:hint="eastAsia"/>
          <w:color w:val="231F20"/>
          <w:spacing w:val="-20"/>
          <w:sz w:val="32"/>
          <w:szCs w:val="24"/>
        </w:rPr>
        <w:t xml:space="preserve"> 的乡</w:t>
      </w:r>
      <w:r>
        <w:rPr>
          <w:rFonts w:hint="eastAsia"/>
          <w:color w:val="231F20"/>
          <w:sz w:val="32"/>
          <w:szCs w:val="24"/>
        </w:rPr>
        <w:t>镇卫生院和社区卫生服务中心建成中医馆。</w:t>
      </w:r>
    </w:p>
    <w:p>
      <w:pPr>
        <w:pStyle w:val="7"/>
        <w:numPr>
          <w:ilvl w:val="0"/>
          <w:numId w:val="5"/>
        </w:numPr>
        <w:tabs>
          <w:tab w:val="left" w:pos="1430"/>
        </w:tabs>
        <w:kinsoku w:val="0"/>
        <w:overflowPunct w:val="0"/>
        <w:spacing w:line="328" w:lineRule="auto"/>
        <w:ind w:left="347" w:right="323" w:firstLine="680"/>
        <w:rPr>
          <w:rFonts w:hint="eastAsia"/>
          <w:color w:val="231F20"/>
          <w:spacing w:val="-6"/>
          <w:sz w:val="32"/>
          <w:szCs w:val="24"/>
        </w:rPr>
      </w:pPr>
      <w:r>
        <w:rPr>
          <w:rFonts w:hint="eastAsia"/>
          <w:color w:val="231F20"/>
          <w:spacing w:val="6"/>
          <w:sz w:val="32"/>
          <w:szCs w:val="24"/>
        </w:rPr>
        <w:t>全面提升中医药服务能力：依托新区第一人民医院建</w:t>
      </w:r>
      <w:r>
        <w:rPr>
          <w:rFonts w:hint="eastAsia"/>
          <w:color w:val="231F20"/>
          <w:spacing w:val="9"/>
          <w:sz w:val="32"/>
          <w:szCs w:val="24"/>
        </w:rPr>
        <w:t>设区域中医</w:t>
      </w:r>
      <w:r>
        <w:rPr>
          <w:rFonts w:hint="eastAsia"/>
          <w:color w:val="231F20"/>
          <w:spacing w:val="12"/>
          <w:sz w:val="32"/>
          <w:szCs w:val="24"/>
        </w:rPr>
        <w:t>（</w:t>
      </w:r>
      <w:r>
        <w:rPr>
          <w:rFonts w:hint="eastAsia"/>
          <w:color w:val="231F20"/>
          <w:spacing w:val="9"/>
          <w:sz w:val="32"/>
          <w:szCs w:val="24"/>
        </w:rPr>
        <w:t>专科</w:t>
      </w:r>
      <w:r>
        <w:rPr>
          <w:rFonts w:hint="eastAsia"/>
          <w:color w:val="231F20"/>
          <w:spacing w:val="12"/>
          <w:sz w:val="32"/>
          <w:szCs w:val="24"/>
        </w:rPr>
        <w:t>）</w:t>
      </w:r>
      <w:r>
        <w:rPr>
          <w:rFonts w:hint="eastAsia"/>
          <w:color w:val="231F20"/>
          <w:spacing w:val="9"/>
          <w:sz w:val="32"/>
          <w:szCs w:val="24"/>
        </w:rPr>
        <w:t>医疗中心、中医康复中心和中医治未病</w:t>
      </w:r>
      <w:r>
        <w:rPr>
          <w:rFonts w:hint="eastAsia"/>
          <w:color w:val="231F20"/>
          <w:spacing w:val="-6"/>
          <w:sz w:val="32"/>
          <w:szCs w:val="24"/>
        </w:rPr>
        <w:t>中心，实施中医服务能力提升和中医应急救治能力建设项目。</w:t>
      </w:r>
    </w:p>
    <w:p>
      <w:pPr>
        <w:pStyle w:val="7"/>
        <w:numPr>
          <w:ilvl w:val="0"/>
          <w:numId w:val="5"/>
        </w:numPr>
        <w:tabs>
          <w:tab w:val="left" w:pos="1430"/>
        </w:tabs>
        <w:kinsoku w:val="0"/>
        <w:overflowPunct w:val="0"/>
        <w:spacing w:line="328" w:lineRule="auto"/>
        <w:ind w:left="347" w:right="331" w:firstLine="680"/>
        <w:rPr>
          <w:rFonts w:hint="eastAsia"/>
          <w:color w:val="231F20"/>
          <w:sz w:val="32"/>
          <w:szCs w:val="24"/>
        </w:rPr>
      </w:pPr>
      <w:r>
        <w:rPr>
          <w:rFonts w:hint="eastAsia"/>
          <w:color w:val="231F20"/>
          <w:spacing w:val="2"/>
          <w:sz w:val="32"/>
          <w:szCs w:val="24"/>
        </w:rPr>
        <w:t xml:space="preserve">建设中药种子种苗基地，中药材种植面积稳定在 </w:t>
      </w:r>
      <w:r>
        <w:rPr>
          <w:rFonts w:hint="eastAsia"/>
          <w:color w:val="231F20"/>
          <w:sz w:val="32"/>
          <w:szCs w:val="24"/>
        </w:rPr>
        <w:t>1</w:t>
      </w:r>
      <w:r>
        <w:rPr>
          <w:rFonts w:hint="eastAsia"/>
          <w:color w:val="231F20"/>
          <w:spacing w:val="-45"/>
          <w:sz w:val="32"/>
          <w:szCs w:val="24"/>
        </w:rPr>
        <w:t xml:space="preserve"> 万</w:t>
      </w:r>
      <w:r>
        <w:rPr>
          <w:rFonts w:hint="eastAsia"/>
          <w:color w:val="231F20"/>
          <w:spacing w:val="-4"/>
          <w:sz w:val="32"/>
          <w:szCs w:val="24"/>
        </w:rPr>
        <w:t xml:space="preserve">亩左右，建设优质药材标准化种植基地，标准化率达到 </w:t>
      </w:r>
      <w:r>
        <w:rPr>
          <w:rFonts w:hint="eastAsia"/>
          <w:color w:val="231F20"/>
          <w:sz w:val="32"/>
          <w:szCs w:val="24"/>
        </w:rPr>
        <w:t>45%。</w:t>
      </w:r>
    </w:p>
    <w:p>
      <w:pPr>
        <w:pStyle w:val="7"/>
        <w:numPr>
          <w:ilvl w:val="0"/>
          <w:numId w:val="5"/>
        </w:numPr>
        <w:tabs>
          <w:tab w:val="left" w:pos="1430"/>
        </w:tabs>
        <w:kinsoku w:val="0"/>
        <w:overflowPunct w:val="0"/>
        <w:spacing w:line="328" w:lineRule="auto"/>
        <w:ind w:left="347" w:right="326" w:firstLine="680"/>
        <w:rPr>
          <w:rFonts w:hint="eastAsia"/>
          <w:color w:val="231F20"/>
          <w:spacing w:val="-35"/>
          <w:sz w:val="32"/>
          <w:szCs w:val="24"/>
        </w:rPr>
      </w:pPr>
      <w:r>
        <w:rPr>
          <w:rFonts w:hint="eastAsia"/>
          <w:color w:val="231F20"/>
          <w:spacing w:val="5"/>
          <w:sz w:val="32"/>
          <w:szCs w:val="24"/>
        </w:rPr>
        <w:t>重点实施中医药创新驱动、人才培养、大企业大品种</w:t>
      </w:r>
      <w:r>
        <w:rPr>
          <w:rFonts w:hint="eastAsia"/>
          <w:color w:val="231F20"/>
          <w:spacing w:val="-11"/>
          <w:sz w:val="32"/>
          <w:szCs w:val="24"/>
        </w:rPr>
        <w:t xml:space="preserve">培育、“互联网 +”医药、招商引资落地、市场深入开拓 </w:t>
      </w:r>
      <w:r>
        <w:rPr>
          <w:rFonts w:hint="eastAsia"/>
          <w:color w:val="231F20"/>
          <w:sz w:val="32"/>
          <w:szCs w:val="24"/>
        </w:rPr>
        <w:t>6</w:t>
      </w:r>
      <w:r>
        <w:rPr>
          <w:rFonts w:hint="eastAsia"/>
          <w:color w:val="231F20"/>
          <w:spacing w:val="-35"/>
          <w:sz w:val="32"/>
          <w:szCs w:val="24"/>
        </w:rPr>
        <w:t xml:space="preserve"> 大工程。</w:t>
      </w:r>
    </w:p>
    <w:p>
      <w:pPr>
        <w:pStyle w:val="3"/>
        <w:kinsoku w:val="0"/>
        <w:overflowPunct w:val="0"/>
        <w:spacing w:before="4"/>
        <w:ind w:left="0"/>
        <w:rPr>
          <w:rFonts w:hint="eastAsia"/>
          <w:sz w:val="9"/>
          <w:szCs w:val="24"/>
        </w:rPr>
      </w:pPr>
    </w:p>
    <w:p>
      <w:pPr>
        <w:pStyle w:val="3"/>
        <w:kinsoku w:val="0"/>
        <w:overflowPunct w:val="0"/>
        <w:spacing w:before="28"/>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七、完善卫生健康人才体系</w:t>
      </w:r>
    </w:p>
    <w:p>
      <w:pPr>
        <w:pStyle w:val="3"/>
        <w:kinsoku w:val="0"/>
        <w:overflowPunct w:val="0"/>
        <w:spacing w:before="97" w:line="328" w:lineRule="auto"/>
        <w:ind w:right="261" w:firstLine="680"/>
        <w:jc w:val="both"/>
        <w:rPr>
          <w:rFonts w:hint="eastAsia"/>
          <w:color w:val="231F20"/>
          <w:spacing w:val="-13"/>
          <w:sz w:val="32"/>
          <w:szCs w:val="24"/>
        </w:rPr>
      </w:pPr>
      <w:r>
        <w:rPr>
          <w:rFonts w:hint="default" w:ascii="楷体_GB2312" w:hAnsi="楷体_GB2312" w:eastAsia="楷体_GB2312"/>
          <w:color w:val="231F20"/>
          <w:sz w:val="32"/>
          <w:szCs w:val="24"/>
        </w:rPr>
        <w:t>（三十）加强卫生健康人才引进。</w:t>
      </w:r>
      <w:r>
        <w:rPr>
          <w:rFonts w:hint="eastAsia"/>
          <w:color w:val="231F20"/>
          <w:sz w:val="32"/>
          <w:szCs w:val="24"/>
        </w:rPr>
        <w:t>建立盘活现有人才、培</w:t>
      </w:r>
      <w:r>
        <w:rPr>
          <w:rFonts w:hint="eastAsia"/>
          <w:color w:val="231F20"/>
          <w:spacing w:val="1"/>
          <w:sz w:val="32"/>
          <w:szCs w:val="24"/>
        </w:rPr>
        <w:t>养短缺人才、引进急需人才资源合理流动机制。按照城市服务</w:t>
      </w:r>
      <w:r>
        <w:rPr>
          <w:rFonts w:hint="eastAsia"/>
          <w:color w:val="231F20"/>
          <w:sz w:val="32"/>
          <w:szCs w:val="24"/>
        </w:rPr>
        <w:t>人口增长规模核定卫生专业技术人员总控数。优化卫生健康人才队伍规模与人员结构，逐步形成专业合理的人才梯队。争取</w:t>
      </w:r>
      <w:r>
        <w:rPr>
          <w:rFonts w:hint="eastAsia"/>
          <w:color w:val="231F20"/>
          <w:spacing w:val="7"/>
          <w:sz w:val="32"/>
          <w:szCs w:val="24"/>
        </w:rPr>
        <w:t xml:space="preserve">每年引进高层次紧缺专业技术人员 </w:t>
      </w:r>
      <w:r>
        <w:rPr>
          <w:rFonts w:hint="eastAsia"/>
          <w:color w:val="231F20"/>
          <w:sz w:val="32"/>
          <w:szCs w:val="24"/>
        </w:rPr>
        <w:t>10-20</w:t>
      </w:r>
      <w:r>
        <w:rPr>
          <w:rFonts w:hint="eastAsia"/>
          <w:color w:val="231F20"/>
          <w:spacing w:val="-30"/>
          <w:sz w:val="32"/>
          <w:szCs w:val="24"/>
        </w:rPr>
        <w:t xml:space="preserve"> 名。到 </w:t>
      </w:r>
      <w:r>
        <w:rPr>
          <w:rFonts w:hint="eastAsia"/>
          <w:color w:val="231F20"/>
          <w:sz w:val="32"/>
          <w:szCs w:val="24"/>
        </w:rPr>
        <w:t>2025</w:t>
      </w:r>
      <w:r>
        <w:rPr>
          <w:rFonts w:hint="eastAsia"/>
          <w:color w:val="231F20"/>
          <w:spacing w:val="-13"/>
          <w:sz w:val="32"/>
          <w:szCs w:val="24"/>
        </w:rPr>
        <w:t xml:space="preserve"> 年，打</w:t>
      </w:r>
    </w:p>
    <w:p>
      <w:pPr>
        <w:pStyle w:val="3"/>
        <w:kinsoku w:val="0"/>
        <w:overflowPunct w:val="0"/>
        <w:spacing w:before="97" w:line="328" w:lineRule="auto"/>
        <w:ind w:right="261" w:firstLine="680"/>
        <w:jc w:val="both"/>
        <w:rPr>
          <w:rFonts w:hint="eastAsia"/>
          <w:color w:val="231F20"/>
          <w:spacing w:val="-13"/>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jc w:val="both"/>
        <w:rPr>
          <w:rFonts w:hint="eastAsia"/>
          <w:color w:val="231F20"/>
          <w:spacing w:val="-29"/>
          <w:sz w:val="32"/>
          <w:szCs w:val="24"/>
        </w:rPr>
      </w:pPr>
      <w:r>
        <w:rPr>
          <w:rFonts w:hint="eastAsia"/>
          <w:color w:val="231F20"/>
          <w:spacing w:val="-15"/>
          <w:sz w:val="32"/>
          <w:szCs w:val="24"/>
        </w:rPr>
        <w:t xml:space="preserve">造省级名医 </w:t>
      </w:r>
      <w:r>
        <w:rPr>
          <w:rFonts w:hint="eastAsia"/>
          <w:color w:val="231F20"/>
          <w:sz w:val="32"/>
          <w:szCs w:val="24"/>
        </w:rPr>
        <w:t>1-2</w:t>
      </w:r>
      <w:r>
        <w:rPr>
          <w:rFonts w:hint="eastAsia"/>
          <w:color w:val="231F20"/>
          <w:spacing w:val="-26"/>
          <w:sz w:val="32"/>
          <w:szCs w:val="24"/>
        </w:rPr>
        <w:t xml:space="preserve"> 名，新区名医 </w:t>
      </w:r>
      <w:r>
        <w:rPr>
          <w:rFonts w:hint="eastAsia"/>
          <w:color w:val="231F20"/>
          <w:sz w:val="32"/>
          <w:szCs w:val="24"/>
        </w:rPr>
        <w:t>5-10</w:t>
      </w:r>
      <w:r>
        <w:rPr>
          <w:rFonts w:hint="eastAsia"/>
          <w:color w:val="231F20"/>
          <w:spacing w:val="-20"/>
          <w:sz w:val="32"/>
          <w:szCs w:val="24"/>
        </w:rPr>
        <w:t xml:space="preserve"> 名，培养学科带头人 </w:t>
      </w:r>
      <w:r>
        <w:rPr>
          <w:rFonts w:hint="eastAsia"/>
          <w:color w:val="231F20"/>
          <w:sz w:val="32"/>
          <w:szCs w:val="24"/>
        </w:rPr>
        <w:t>20</w:t>
      </w:r>
      <w:r>
        <w:rPr>
          <w:rFonts w:hint="eastAsia"/>
          <w:color w:val="231F20"/>
          <w:spacing w:val="-29"/>
          <w:sz w:val="32"/>
          <w:szCs w:val="24"/>
        </w:rPr>
        <w:t xml:space="preserve"> 名，</w:t>
      </w:r>
    </w:p>
    <w:p>
      <w:pPr>
        <w:pStyle w:val="3"/>
        <w:kinsoku w:val="0"/>
        <w:overflowPunct w:val="0"/>
        <w:spacing w:before="150" w:line="328" w:lineRule="auto"/>
        <w:ind w:right="263"/>
        <w:jc w:val="both"/>
        <w:rPr>
          <w:rFonts w:hint="eastAsia"/>
          <w:color w:val="231F20"/>
          <w:sz w:val="32"/>
          <w:szCs w:val="24"/>
        </w:rPr>
      </w:pPr>
      <w:r>
        <w:rPr>
          <w:rFonts w:hint="eastAsia"/>
          <w:color w:val="231F20"/>
          <w:sz w:val="32"/>
          <w:szCs w:val="24"/>
        </w:rPr>
        <w:t>学科技术骨干 50 名。引进和培养一批具有国内或省内领先水平的学科带头人，不断提高服务能力和水平。</w:t>
      </w:r>
    </w:p>
    <w:p>
      <w:pPr>
        <w:pStyle w:val="3"/>
        <w:kinsoku w:val="0"/>
        <w:overflowPunct w:val="0"/>
        <w:spacing w:line="328" w:lineRule="auto"/>
        <w:ind w:right="263" w:firstLine="680"/>
        <w:jc w:val="both"/>
        <w:rPr>
          <w:rFonts w:hint="eastAsia"/>
          <w:color w:val="231F20"/>
          <w:spacing w:val="-1"/>
          <w:sz w:val="32"/>
          <w:szCs w:val="24"/>
        </w:rPr>
      </w:pPr>
      <w:r>
        <w:rPr>
          <w:rFonts w:hint="default" w:ascii="楷体_GB2312" w:hAnsi="楷体_GB2312" w:eastAsia="楷体_GB2312"/>
          <w:color w:val="231F20"/>
          <w:sz w:val="32"/>
          <w:szCs w:val="24"/>
        </w:rPr>
        <w:t>（三十一）强化卫生健康人才培养。</w:t>
      </w:r>
      <w:r>
        <w:rPr>
          <w:rFonts w:hint="eastAsia"/>
          <w:color w:val="231F20"/>
          <w:sz w:val="32"/>
          <w:szCs w:val="24"/>
        </w:rPr>
        <w:t>坚持“人才强卫”战</w:t>
      </w:r>
      <w:r>
        <w:rPr>
          <w:rFonts w:hint="eastAsia"/>
          <w:color w:val="231F20"/>
          <w:spacing w:val="5"/>
          <w:sz w:val="32"/>
          <w:szCs w:val="24"/>
        </w:rPr>
        <w:t>略，大力实施</w:t>
      </w:r>
      <w:r>
        <w:rPr>
          <w:rFonts w:hint="eastAsia"/>
          <w:color w:val="231F20"/>
          <w:sz w:val="32"/>
          <w:szCs w:val="24"/>
        </w:rPr>
        <w:t>“5555</w:t>
      </w:r>
      <w:r>
        <w:rPr>
          <w:rFonts w:hint="eastAsia"/>
          <w:color w:val="231F20"/>
          <w:spacing w:val="2"/>
          <w:sz w:val="32"/>
          <w:szCs w:val="24"/>
        </w:rPr>
        <w:t>”计划</w:t>
      </w:r>
      <w:r>
        <w:rPr>
          <w:rFonts w:hint="eastAsia"/>
          <w:color w:val="231F20"/>
          <w:sz w:val="32"/>
          <w:szCs w:val="24"/>
        </w:rPr>
        <w:t>（5</w:t>
      </w:r>
      <w:r>
        <w:rPr>
          <w:rFonts w:hint="eastAsia"/>
          <w:color w:val="231F20"/>
          <w:spacing w:val="-1"/>
          <w:sz w:val="32"/>
          <w:szCs w:val="24"/>
        </w:rPr>
        <w:t xml:space="preserve"> 年内返聘或柔性引进省级公立</w:t>
      </w:r>
      <w:r>
        <w:rPr>
          <w:rFonts w:hint="eastAsia"/>
          <w:color w:val="231F20"/>
          <w:spacing w:val="4"/>
          <w:sz w:val="32"/>
          <w:szCs w:val="24"/>
        </w:rPr>
        <w:t xml:space="preserve">医疗机构退休的优秀专业技术人员 </w:t>
      </w:r>
      <w:r>
        <w:rPr>
          <w:rFonts w:hint="eastAsia"/>
          <w:color w:val="231F20"/>
          <w:sz w:val="32"/>
          <w:szCs w:val="24"/>
        </w:rPr>
        <w:t>50</w:t>
      </w:r>
      <w:r>
        <w:rPr>
          <w:rFonts w:hint="eastAsia"/>
          <w:color w:val="231F20"/>
          <w:spacing w:val="-1"/>
          <w:sz w:val="32"/>
          <w:szCs w:val="24"/>
        </w:rPr>
        <w:t xml:space="preserve"> 名、选派到省级以上医</w:t>
      </w:r>
    </w:p>
    <w:p>
      <w:pPr>
        <w:pStyle w:val="3"/>
        <w:kinsoku w:val="0"/>
        <w:overflowPunct w:val="0"/>
        <w:spacing w:line="405" w:lineRule="exact"/>
        <w:jc w:val="both"/>
        <w:rPr>
          <w:rFonts w:hint="eastAsia"/>
          <w:color w:val="231F20"/>
          <w:spacing w:val="-9"/>
          <w:sz w:val="32"/>
          <w:szCs w:val="24"/>
        </w:rPr>
      </w:pPr>
      <w:r>
        <w:rPr>
          <w:rFonts w:hint="eastAsia"/>
          <w:color w:val="231F20"/>
          <w:spacing w:val="-2"/>
          <w:sz w:val="32"/>
          <w:szCs w:val="24"/>
        </w:rPr>
        <w:t xml:space="preserve">疗卫生机构进修培训医疗卫生服务人员 </w:t>
      </w:r>
      <w:r>
        <w:rPr>
          <w:rFonts w:hint="eastAsia"/>
          <w:color w:val="231F20"/>
          <w:sz w:val="32"/>
          <w:szCs w:val="24"/>
        </w:rPr>
        <w:t>500</w:t>
      </w:r>
      <w:r>
        <w:rPr>
          <w:rFonts w:hint="eastAsia"/>
          <w:color w:val="231F20"/>
          <w:spacing w:val="-9"/>
          <w:sz w:val="32"/>
          <w:szCs w:val="24"/>
        </w:rPr>
        <w:t xml:space="preserve"> 名、每年储备“双</w:t>
      </w:r>
    </w:p>
    <w:p>
      <w:pPr>
        <w:pStyle w:val="3"/>
        <w:kinsoku w:val="0"/>
        <w:overflowPunct w:val="0"/>
        <w:spacing w:before="146"/>
        <w:rPr>
          <w:rFonts w:hint="eastAsia"/>
          <w:color w:val="231F20"/>
          <w:sz w:val="32"/>
          <w:szCs w:val="24"/>
        </w:rPr>
      </w:pPr>
      <w:r>
        <w:rPr>
          <w:rFonts w:hint="eastAsia"/>
          <w:color w:val="231F20"/>
          <w:spacing w:val="1"/>
          <w:sz w:val="32"/>
          <w:szCs w:val="24"/>
        </w:rPr>
        <w:t xml:space="preserve">一流”高校医学专业毕业生 </w:t>
      </w:r>
      <w:r>
        <w:rPr>
          <w:rFonts w:hint="eastAsia"/>
          <w:color w:val="231F20"/>
          <w:sz w:val="32"/>
          <w:szCs w:val="24"/>
        </w:rPr>
        <w:t>50 名、与省内外知名院校合作培</w:t>
      </w:r>
    </w:p>
    <w:p>
      <w:pPr>
        <w:pStyle w:val="3"/>
        <w:kinsoku w:val="0"/>
        <w:overflowPunct w:val="0"/>
        <w:spacing w:before="150"/>
        <w:rPr>
          <w:rFonts w:hint="eastAsia"/>
          <w:color w:val="231F20"/>
          <w:spacing w:val="-6"/>
          <w:sz w:val="32"/>
          <w:szCs w:val="24"/>
        </w:rPr>
      </w:pPr>
      <w:r>
        <w:rPr>
          <w:rFonts w:hint="eastAsia"/>
          <w:color w:val="231F20"/>
          <w:spacing w:val="-8"/>
          <w:sz w:val="32"/>
          <w:szCs w:val="24"/>
        </w:rPr>
        <w:t xml:space="preserve">养专业技术人员不少于 </w:t>
      </w:r>
      <w:r>
        <w:rPr>
          <w:rFonts w:hint="eastAsia"/>
          <w:color w:val="231F20"/>
          <w:sz w:val="32"/>
          <w:szCs w:val="24"/>
        </w:rPr>
        <w:t>50</w:t>
      </w:r>
      <w:r>
        <w:rPr>
          <w:rFonts w:hint="eastAsia"/>
          <w:color w:val="231F20"/>
          <w:spacing w:val="-44"/>
          <w:sz w:val="32"/>
          <w:szCs w:val="24"/>
        </w:rPr>
        <w:t xml:space="preserve"> 名</w:t>
      </w:r>
      <w:r>
        <w:rPr>
          <w:rFonts w:hint="eastAsia"/>
          <w:color w:val="231F20"/>
          <w:spacing w:val="-28"/>
          <w:sz w:val="32"/>
          <w:szCs w:val="24"/>
        </w:rPr>
        <w:t>）</w:t>
      </w:r>
      <w:r>
        <w:rPr>
          <w:rFonts w:hint="eastAsia"/>
          <w:color w:val="231F20"/>
          <w:spacing w:val="-6"/>
          <w:sz w:val="32"/>
          <w:szCs w:val="24"/>
        </w:rPr>
        <w:t>。稳步实施人才梯队培养计划，</w:t>
      </w:r>
    </w:p>
    <w:p>
      <w:pPr>
        <w:pStyle w:val="3"/>
        <w:kinsoku w:val="0"/>
        <w:overflowPunct w:val="0"/>
        <w:spacing w:before="150"/>
        <w:rPr>
          <w:rFonts w:hint="eastAsia"/>
          <w:color w:val="231F20"/>
          <w:spacing w:val="-10"/>
          <w:sz w:val="32"/>
          <w:szCs w:val="24"/>
        </w:rPr>
      </w:pPr>
      <w:r>
        <w:rPr>
          <w:rFonts w:hint="eastAsia"/>
          <w:color w:val="231F20"/>
          <w:spacing w:val="-8"/>
          <w:sz w:val="32"/>
          <w:szCs w:val="24"/>
        </w:rPr>
        <w:t xml:space="preserve">每年选派不少于 </w:t>
      </w:r>
      <w:r>
        <w:rPr>
          <w:rFonts w:hint="eastAsia"/>
          <w:color w:val="231F20"/>
          <w:sz w:val="32"/>
          <w:szCs w:val="24"/>
        </w:rPr>
        <w:t>10%</w:t>
      </w:r>
      <w:r>
        <w:rPr>
          <w:rFonts w:hint="eastAsia"/>
          <w:color w:val="231F20"/>
          <w:spacing w:val="-12"/>
          <w:sz w:val="32"/>
          <w:szCs w:val="24"/>
        </w:rPr>
        <w:t xml:space="preserve"> 的专业技术人员外出进修 </w:t>
      </w:r>
      <w:r>
        <w:rPr>
          <w:rFonts w:hint="eastAsia"/>
          <w:color w:val="231F20"/>
          <w:sz w:val="32"/>
          <w:szCs w:val="24"/>
        </w:rPr>
        <w:t>3</w:t>
      </w:r>
      <w:r>
        <w:rPr>
          <w:rFonts w:hint="eastAsia"/>
          <w:color w:val="231F20"/>
          <w:spacing w:val="-10"/>
          <w:sz w:val="32"/>
          <w:szCs w:val="24"/>
        </w:rPr>
        <w:t xml:space="preserve"> 个月以上，选</w:t>
      </w:r>
    </w:p>
    <w:p>
      <w:pPr>
        <w:pStyle w:val="3"/>
        <w:kinsoku w:val="0"/>
        <w:overflowPunct w:val="0"/>
        <w:spacing w:before="150"/>
        <w:rPr>
          <w:rFonts w:hint="eastAsia"/>
          <w:color w:val="231F20"/>
          <w:spacing w:val="-6"/>
          <w:sz w:val="32"/>
          <w:szCs w:val="24"/>
        </w:rPr>
      </w:pPr>
      <w:r>
        <w:rPr>
          <w:rFonts w:hint="eastAsia"/>
          <w:color w:val="231F20"/>
          <w:spacing w:val="-40"/>
          <w:sz w:val="32"/>
          <w:szCs w:val="24"/>
        </w:rPr>
        <w:t xml:space="preserve">派 </w:t>
      </w:r>
      <w:r>
        <w:rPr>
          <w:rFonts w:hint="eastAsia"/>
          <w:color w:val="231F20"/>
          <w:sz w:val="32"/>
          <w:szCs w:val="24"/>
        </w:rPr>
        <w:t>30%</w:t>
      </w:r>
      <w:r>
        <w:rPr>
          <w:rFonts w:hint="eastAsia"/>
          <w:color w:val="231F20"/>
          <w:spacing w:val="-6"/>
          <w:sz w:val="32"/>
          <w:szCs w:val="24"/>
        </w:rPr>
        <w:t xml:space="preserve"> 以上的专业技术人员参加至少一次的短期培训。推进医</w:t>
      </w:r>
    </w:p>
    <w:p>
      <w:pPr>
        <w:pStyle w:val="3"/>
        <w:kinsoku w:val="0"/>
        <w:overflowPunct w:val="0"/>
        <w:spacing w:before="150" w:line="328" w:lineRule="auto"/>
        <w:ind w:right="266"/>
        <w:jc w:val="both"/>
        <w:rPr>
          <w:rFonts w:hint="eastAsia"/>
          <w:color w:val="231F20"/>
          <w:sz w:val="32"/>
          <w:szCs w:val="24"/>
        </w:rPr>
      </w:pPr>
      <w:r>
        <w:rPr>
          <w:rFonts w:hint="eastAsia"/>
          <w:color w:val="231F20"/>
          <w:sz w:val="32"/>
          <w:szCs w:val="24"/>
        </w:rPr>
        <w:t>务人员全科化进程，使基层 100% 的执业医师完成全科医师转岗培训，积极开展中医师承教育。加强产科、儿科、精神科、老年医学等领域紧缺人才培养力度。实施卫生健康单位负责人竞争上岗制度，强化基层医疗卫生单位领导干部队伍建设，加强培养锻炼，提升综合管理能力。</w:t>
      </w:r>
    </w:p>
    <w:p>
      <w:pPr>
        <w:pStyle w:val="3"/>
        <w:kinsoku w:val="0"/>
        <w:overflowPunct w:val="0"/>
        <w:spacing w:before="150" w:line="328" w:lineRule="auto"/>
        <w:ind w:right="266"/>
        <w:jc w:val="both"/>
        <w:rPr>
          <w:rFonts w:hint="eastAsia"/>
          <w:color w:val="231F20"/>
          <w:sz w:val="32"/>
          <w:szCs w:val="24"/>
        </w:rPr>
        <w:sectPr>
          <w:pgSz w:w="12250" w:h="17180"/>
          <w:pgMar w:top="1620" w:right="1480" w:bottom="1640" w:left="1480" w:header="0" w:footer="1444" w:gutter="0"/>
          <w:lnNumType w:countBy="0" w:distance="360"/>
          <w:cols w:space="720" w:num="1"/>
        </w:sectPr>
      </w:pPr>
      <w:r>
        <w:rPr>
          <w:rFonts w:hint="default" w:ascii="楷体_GB2312" w:hAnsi="楷体_GB2312" w:eastAsia="楷体_GB2312"/>
          <w:color w:val="231F20"/>
          <w:sz w:val="32"/>
          <w:szCs w:val="24"/>
        </w:rPr>
        <w:t>（三十二）落实卫生健康人才待遇保障。</w:t>
      </w:r>
      <w:r>
        <w:rPr>
          <w:rFonts w:hint="eastAsia"/>
          <w:color w:val="231F20"/>
          <w:sz w:val="32"/>
          <w:szCs w:val="24"/>
        </w:rPr>
        <w:t>健全以全员聘用制和岗位管理为重点的事业单位用人机制。建立符合新区卫生健康行业特点的人事薪酬制度。健全紧缺人才激励与约束机制。落实基层卫生专业技术人员职称评审政策，建立符合基层医疗卫生工作实际的人才评价机制。通过人才服务一体化、柔性引进等多种方式，建立完善科学合理的人才管理和服务模式。实施全员聘任和竞聘上岗，落实职称评聘。创新公立医院人员管理方式，建立人员备案制管理办法。继续落实好新区各项人才</w:t>
      </w:r>
    </w:p>
    <w:p>
      <w:pPr>
        <w:pStyle w:val="3"/>
        <w:kinsoku w:val="0"/>
        <w:overflowPunct w:val="0"/>
        <w:spacing w:before="150" w:line="328" w:lineRule="auto"/>
        <w:ind w:right="266"/>
        <w:jc w:val="both"/>
        <w:rPr>
          <w:rFonts w:hint="eastAsia"/>
          <w:color w:val="231F20"/>
          <w:sz w:val="32"/>
          <w:szCs w:val="24"/>
        </w:rPr>
      </w:pPr>
      <w:r>
        <w:rPr>
          <w:rFonts w:hint="default"/>
          <w:color w:val="231F20"/>
          <w:sz w:val="32"/>
          <w:szCs w:val="24"/>
        </w:rPr>
        <mc:AlternateContent>
          <mc:Choice Requires="wpg">
            <w:drawing>
              <wp:anchor distT="0" distB="0" distL="0" distR="0" simplePos="0" relativeHeight="251664384" behindDoc="0" locked="0" layoutInCell="1" allowOverlap="1">
                <wp:simplePos x="0" y="0"/>
                <wp:positionH relativeFrom="page">
                  <wp:posOffset>1111885</wp:posOffset>
                </wp:positionH>
                <wp:positionV relativeFrom="paragraph">
                  <wp:posOffset>1019810</wp:posOffset>
                </wp:positionV>
                <wp:extent cx="5608955" cy="3250565"/>
                <wp:effectExtent l="0" t="0" r="1270" b="0"/>
                <wp:wrapTopAndBottom/>
                <wp:docPr id="35" name="组合 31"/>
                <wp:cNvGraphicFramePr/>
                <a:graphic xmlns:a="http://schemas.openxmlformats.org/drawingml/2006/main">
                  <a:graphicData uri="http://schemas.microsoft.com/office/word/2010/wordprocessingGroup">
                    <wpg:wgp>
                      <wpg:cNvGrpSpPr/>
                      <wpg:grpSpPr>
                        <a:xfrm>
                          <a:off x="0" y="0"/>
                          <a:ext cx="5608955" cy="3250565"/>
                          <a:chOff x="1751" y="1277"/>
                          <a:chExt cx="8834" cy="5251"/>
                        </a:xfrm>
                      </wpg:grpSpPr>
                      <wps:wsp>
                        <wps:cNvPr id="30" name="任意多边形 32"/>
                        <wps:cNvSpPr/>
                        <wps:spPr>
                          <a:xfrm>
                            <a:off x="1751" y="1290"/>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vert="horz" wrap="square" anchor="t" anchorCtr="false" upright="true"/>
                      </wps:wsp>
                      <wps:wsp>
                        <wps:cNvPr id="31" name="任意多边形 33"/>
                        <wps:cNvSpPr/>
                        <wps:spPr>
                          <a:xfrm>
                            <a:off x="1764" y="1303"/>
                            <a:ext cx="20" cy="5193"/>
                          </a:xfrm>
                          <a:custGeom>
                            <a:avLst/>
                            <a:gdLst/>
                            <a:ahLst/>
                            <a:cxnLst/>
                            <a:pathLst>
                              <a:path w="20" h="5193">
                                <a:moveTo>
                                  <a:pt x="0" y="5192"/>
                                </a:moveTo>
                                <a:lnTo>
                                  <a:pt x="0" y="0"/>
                                </a:lnTo>
                              </a:path>
                            </a:pathLst>
                          </a:custGeom>
                          <a:noFill/>
                          <a:ln w="16510" cap="flat" cmpd="sng">
                            <a:solidFill>
                              <a:srgbClr val="231F20"/>
                            </a:solidFill>
                            <a:prstDash val="solid"/>
                            <a:headEnd type="none" w="med" len="med"/>
                            <a:tailEnd type="none" w="med" len="med"/>
                          </a:ln>
                        </wps:spPr>
                        <wps:bodyPr vert="horz" wrap="square" anchor="t" anchorCtr="false" upright="true"/>
                      </wps:wsp>
                      <wps:wsp>
                        <wps:cNvPr id="32" name="任意多边形 34"/>
                        <wps:cNvSpPr/>
                        <wps:spPr>
                          <a:xfrm>
                            <a:off x="10481" y="1303"/>
                            <a:ext cx="20" cy="5193"/>
                          </a:xfrm>
                          <a:custGeom>
                            <a:avLst/>
                            <a:gdLst/>
                            <a:ahLst/>
                            <a:cxnLst/>
                            <a:pathLst>
                              <a:path w="20" h="5193">
                                <a:moveTo>
                                  <a:pt x="0" y="5192"/>
                                </a:moveTo>
                                <a:lnTo>
                                  <a:pt x="0" y="0"/>
                                </a:lnTo>
                              </a:path>
                            </a:pathLst>
                          </a:custGeom>
                          <a:noFill/>
                          <a:ln w="16510" cap="flat" cmpd="sng">
                            <a:solidFill>
                              <a:srgbClr val="231F20"/>
                            </a:solidFill>
                            <a:prstDash val="solid"/>
                            <a:headEnd type="none" w="med" len="med"/>
                            <a:tailEnd type="none" w="med" len="med"/>
                          </a:ln>
                        </wps:spPr>
                        <wps:bodyPr vert="horz" wrap="square" anchor="t" anchorCtr="false" upright="true"/>
                      </wps:wsp>
                      <wps:wsp>
                        <wps:cNvPr id="33" name="任意多边形 35"/>
                        <wps:cNvSpPr/>
                        <wps:spPr>
                          <a:xfrm>
                            <a:off x="1751" y="6508"/>
                            <a:ext cx="8743" cy="20"/>
                          </a:xfrm>
                          <a:custGeom>
                            <a:avLst/>
                            <a:gdLst/>
                            <a:ahLst/>
                            <a:cxnLst/>
                            <a:pathLst>
                              <a:path w="8743" h="20">
                                <a:moveTo>
                                  <a:pt x="0" y="0"/>
                                </a:moveTo>
                                <a:lnTo>
                                  <a:pt x="8742" y="0"/>
                                </a:lnTo>
                              </a:path>
                            </a:pathLst>
                          </a:custGeom>
                          <a:noFill/>
                          <a:ln w="16510" cap="flat" cmpd="sng">
                            <a:solidFill>
                              <a:srgbClr val="231F20"/>
                            </a:solidFill>
                            <a:prstDash val="solid"/>
                            <a:headEnd type="none" w="med" len="med"/>
                            <a:tailEnd type="none" w="med" len="med"/>
                          </a:ln>
                        </wps:spPr>
                        <wps:bodyPr vert="horz" wrap="square" anchor="t" anchorCtr="false" upright="true"/>
                      </wps:wsp>
                      <wps:wsp>
                        <wps:cNvPr id="34" name="文本框 36"/>
                        <wps:cNvSpPr txBox="true"/>
                        <wps:spPr>
                          <a:xfrm>
                            <a:off x="1752" y="1277"/>
                            <a:ext cx="8833" cy="5245"/>
                          </a:xfrm>
                          <a:prstGeom prst="rect">
                            <a:avLst/>
                          </a:prstGeom>
                          <a:noFill/>
                          <a:ln>
                            <a:noFill/>
                          </a:ln>
                        </wps:spPr>
                        <wps:txbx>
                          <w:txbxContent>
                            <w:p>
                              <w:pPr>
                                <w:pStyle w:val="3"/>
                                <w:kinsoku w:val="0"/>
                                <w:overflowPunct w:val="0"/>
                                <w:spacing w:before="135"/>
                                <w:ind w:left="1819"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7：完善卫生健康人才体系</w:t>
                              </w:r>
                            </w:p>
                            <w:p>
                              <w:pPr>
                                <w:pStyle w:val="3"/>
                                <w:numPr>
                                  <w:ilvl w:val="0"/>
                                  <w:numId w:val="6"/>
                                </w:numPr>
                                <w:tabs>
                                  <w:tab w:val="left" w:pos="1153"/>
                                </w:tabs>
                                <w:kinsoku w:val="0"/>
                                <w:overflowPunct w:val="0"/>
                                <w:spacing w:before="97" w:line="328" w:lineRule="auto"/>
                                <w:ind w:left="69" w:right="146" w:firstLine="680"/>
                                <w:jc w:val="both"/>
                                <w:rPr>
                                  <w:rFonts w:hint="eastAsia"/>
                                  <w:color w:val="231F20"/>
                                  <w:spacing w:val="-27"/>
                                  <w:sz w:val="32"/>
                                  <w:szCs w:val="24"/>
                                </w:rPr>
                              </w:pPr>
                              <w:r>
                                <w:rPr>
                                  <w:rFonts w:hint="eastAsia"/>
                                  <w:color w:val="231F20"/>
                                  <w:spacing w:val="3"/>
                                  <w:sz w:val="32"/>
                                  <w:szCs w:val="24"/>
                                </w:rPr>
                                <w:t xml:space="preserve">争取每年引进高层次紧缺专业技术人员 </w:t>
                              </w:r>
                              <w:r>
                                <w:rPr>
                                  <w:rFonts w:hint="eastAsia"/>
                                  <w:color w:val="231F20"/>
                                  <w:sz w:val="32"/>
                                  <w:szCs w:val="24"/>
                                </w:rPr>
                                <w:t>10-20</w:t>
                              </w:r>
                              <w:r>
                                <w:rPr>
                                  <w:rFonts w:hint="eastAsia"/>
                                  <w:color w:val="231F20"/>
                                  <w:spacing w:val="-18"/>
                                  <w:sz w:val="32"/>
                                  <w:szCs w:val="24"/>
                                </w:rPr>
                                <w:t xml:space="preserve"> 名。到2025</w:t>
                              </w:r>
                              <w:r>
                                <w:rPr>
                                  <w:rFonts w:hint="eastAsia"/>
                                  <w:color w:val="231F20"/>
                                  <w:spacing w:val="-17"/>
                                  <w:sz w:val="32"/>
                                  <w:szCs w:val="24"/>
                                </w:rPr>
                                <w:t xml:space="preserve"> 年，打造省级名医 </w:t>
                              </w:r>
                              <w:r>
                                <w:rPr>
                                  <w:rFonts w:hint="eastAsia"/>
                                  <w:color w:val="231F20"/>
                                  <w:sz w:val="32"/>
                                  <w:szCs w:val="24"/>
                                </w:rPr>
                                <w:t>1-2</w:t>
                              </w:r>
                              <w:r>
                                <w:rPr>
                                  <w:rFonts w:hint="eastAsia"/>
                                  <w:color w:val="231F20"/>
                                  <w:spacing w:val="-20"/>
                                  <w:sz w:val="32"/>
                                  <w:szCs w:val="24"/>
                                </w:rPr>
                                <w:t xml:space="preserve"> 名，新区名医 </w:t>
                              </w:r>
                              <w:r>
                                <w:rPr>
                                  <w:rFonts w:hint="eastAsia"/>
                                  <w:color w:val="231F20"/>
                                  <w:sz w:val="32"/>
                                  <w:szCs w:val="24"/>
                                </w:rPr>
                                <w:t>5-10</w:t>
                              </w:r>
                              <w:r>
                                <w:rPr>
                                  <w:rFonts w:hint="eastAsia"/>
                                  <w:color w:val="231F20"/>
                                  <w:spacing w:val="-12"/>
                                  <w:sz w:val="32"/>
                                  <w:szCs w:val="24"/>
                                </w:rPr>
                                <w:t xml:space="preserve"> 名，培养学科</w:t>
                              </w:r>
                              <w:r>
                                <w:rPr>
                                  <w:rFonts w:hint="eastAsia"/>
                                  <w:color w:val="231F20"/>
                                  <w:spacing w:val="-29"/>
                                  <w:sz w:val="32"/>
                                  <w:szCs w:val="24"/>
                                </w:rPr>
                                <w:t xml:space="preserve">带头人 </w:t>
                              </w:r>
                              <w:r>
                                <w:rPr>
                                  <w:rFonts w:hint="eastAsia"/>
                                  <w:color w:val="231F20"/>
                                  <w:sz w:val="32"/>
                                  <w:szCs w:val="24"/>
                                </w:rPr>
                                <w:t>20</w:t>
                              </w:r>
                              <w:r>
                                <w:rPr>
                                  <w:rFonts w:hint="eastAsia"/>
                                  <w:color w:val="231F20"/>
                                  <w:spacing w:val="-18"/>
                                  <w:sz w:val="32"/>
                                  <w:szCs w:val="24"/>
                                </w:rPr>
                                <w:t xml:space="preserve"> 名，学科技术骨干 </w:t>
                              </w:r>
                              <w:r>
                                <w:rPr>
                                  <w:rFonts w:hint="eastAsia"/>
                                  <w:color w:val="231F20"/>
                                  <w:sz w:val="32"/>
                                  <w:szCs w:val="24"/>
                                </w:rPr>
                                <w:t>50</w:t>
                              </w:r>
                              <w:r>
                                <w:rPr>
                                  <w:rFonts w:hint="eastAsia"/>
                                  <w:color w:val="231F20"/>
                                  <w:spacing w:val="-27"/>
                                  <w:sz w:val="32"/>
                                  <w:szCs w:val="24"/>
                                </w:rPr>
                                <w:t xml:space="preserve"> 名。</w:t>
                              </w:r>
                            </w:p>
                            <w:p>
                              <w:pPr>
                                <w:pStyle w:val="3"/>
                                <w:numPr>
                                  <w:ilvl w:val="0"/>
                                  <w:numId w:val="6"/>
                                </w:numPr>
                                <w:tabs>
                                  <w:tab w:val="left" w:pos="1153"/>
                                </w:tabs>
                                <w:kinsoku w:val="0"/>
                                <w:overflowPunct w:val="0"/>
                                <w:spacing w:line="328" w:lineRule="auto"/>
                                <w:ind w:left="69" w:firstLine="680"/>
                                <w:rPr>
                                  <w:rFonts w:hint="eastAsia"/>
                                  <w:color w:val="231F20"/>
                                  <w:sz w:val="32"/>
                                  <w:szCs w:val="24"/>
                                </w:rPr>
                              </w:pPr>
                              <w:r>
                                <w:rPr>
                                  <w:rFonts w:hint="eastAsia"/>
                                  <w:color w:val="231F20"/>
                                  <w:spacing w:val="-5"/>
                                  <w:sz w:val="32"/>
                                  <w:szCs w:val="24"/>
                                </w:rPr>
                                <w:t xml:space="preserve">每年选派不少于 </w:t>
                              </w:r>
                              <w:r>
                                <w:rPr>
                                  <w:rFonts w:hint="eastAsia"/>
                                  <w:color w:val="231F20"/>
                                  <w:sz w:val="32"/>
                                  <w:szCs w:val="24"/>
                                </w:rPr>
                                <w:t>10%</w:t>
                              </w:r>
                              <w:r>
                                <w:rPr>
                                  <w:rFonts w:hint="eastAsia"/>
                                  <w:color w:val="231F20"/>
                                  <w:spacing w:val="-8"/>
                                  <w:sz w:val="32"/>
                                  <w:szCs w:val="24"/>
                                </w:rPr>
                                <w:t xml:space="preserve"> 的专业技术人员外出进修 </w:t>
                              </w:r>
                              <w:r>
                                <w:rPr>
                                  <w:rFonts w:hint="eastAsia"/>
                                  <w:color w:val="231F20"/>
                                  <w:sz w:val="32"/>
                                  <w:szCs w:val="24"/>
                                </w:rPr>
                                <w:t>3</w:t>
                              </w:r>
                              <w:r>
                                <w:rPr>
                                  <w:rFonts w:hint="eastAsia"/>
                                  <w:color w:val="231F20"/>
                                  <w:spacing w:val="-21"/>
                                  <w:sz w:val="32"/>
                                  <w:szCs w:val="24"/>
                                </w:rPr>
                                <w:t xml:space="preserve"> 个月</w:t>
                              </w:r>
                              <w:r>
                                <w:rPr>
                                  <w:rFonts w:hint="eastAsia"/>
                                  <w:color w:val="231F20"/>
                                  <w:spacing w:val="-17"/>
                                  <w:sz w:val="32"/>
                                  <w:szCs w:val="24"/>
                                </w:rPr>
                                <w:t>以上，选派</w:t>
                              </w:r>
                              <w:r>
                                <w:rPr>
                                  <w:rFonts w:hint="eastAsia"/>
                                  <w:color w:val="231F20"/>
                                  <w:sz w:val="32"/>
                                  <w:szCs w:val="24"/>
                                </w:rPr>
                                <w:t>30%</w:t>
                              </w:r>
                              <w:r>
                                <w:rPr>
                                  <w:rFonts w:hint="eastAsia"/>
                                  <w:color w:val="231F20"/>
                                  <w:spacing w:val="-13"/>
                                  <w:sz w:val="32"/>
                                  <w:szCs w:val="24"/>
                                </w:rPr>
                                <w:t xml:space="preserve"> 以上的专业技术人员参加至少一次的短期培训。</w:t>
                              </w:r>
                              <w:r>
                                <w:rPr>
                                  <w:rFonts w:hint="eastAsia"/>
                                  <w:color w:val="231F20"/>
                                  <w:sz w:val="32"/>
                                  <w:szCs w:val="24"/>
                                </w:rPr>
                                <w:t>大力实施“5555”计划。</w:t>
                              </w:r>
                            </w:p>
                            <w:p>
                              <w:pPr>
                                <w:pStyle w:val="3"/>
                                <w:numPr>
                                  <w:ilvl w:val="0"/>
                                  <w:numId w:val="6"/>
                                </w:numPr>
                                <w:tabs>
                                  <w:tab w:val="left" w:pos="1153"/>
                                </w:tabs>
                                <w:kinsoku w:val="0"/>
                                <w:overflowPunct w:val="0"/>
                                <w:spacing w:line="328" w:lineRule="auto"/>
                                <w:ind w:left="69" w:right="150" w:firstLine="680"/>
                                <w:rPr>
                                  <w:rFonts w:hint="eastAsia"/>
                                  <w:color w:val="231F20"/>
                                  <w:sz w:val="32"/>
                                  <w:szCs w:val="24"/>
                                </w:rPr>
                              </w:pPr>
                              <w:r>
                                <w:rPr>
                                  <w:rFonts w:hint="eastAsia"/>
                                  <w:color w:val="231F20"/>
                                  <w:spacing w:val="5"/>
                                  <w:sz w:val="32"/>
                                  <w:szCs w:val="24"/>
                                </w:rPr>
                                <w:t>实施全员聘任和竞聘上岗，落实职称评聘。创新公立</w:t>
                              </w:r>
                              <w:r>
                                <w:rPr>
                                  <w:rFonts w:hint="eastAsia"/>
                                  <w:color w:val="231F20"/>
                                  <w:sz w:val="32"/>
                                  <w:szCs w:val="24"/>
                                </w:rPr>
                                <w:t>医院人员管理方式，建立人员备案制管理办法。</w:t>
                              </w:r>
                            </w:p>
                          </w:txbxContent>
                        </wps:txbx>
                        <wps:bodyPr vert="horz" wrap="square" lIns="0" tIns="0" rIns="0" bIns="0" anchor="t" anchorCtr="false" upright="true"/>
                      </wps:wsp>
                    </wpg:wgp>
                  </a:graphicData>
                </a:graphic>
              </wp:anchor>
            </w:drawing>
          </mc:Choice>
          <mc:Fallback>
            <w:pict>
              <v:group id="组合 31" o:spid="_x0000_s1026" o:spt="203" style="position:absolute;left:0pt;margin-left:87.55pt;margin-top:80.3pt;height:255.95pt;width:441.65pt;mso-position-horizontal-relative:page;mso-wrap-distance-bottom:0pt;mso-wrap-distance-top:0pt;z-index:251664384;mso-width-relative:page;mso-height-relative:page;" coordorigin="1751,1277" coordsize="8834,5251" o:gfxdata="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WAAAAZHJzL1BLAQIUABQAAAAIAIdO4kCIaf4w2wAAAAwBAAAPAAAAAAAAAAEAIAAA&#10;ADgAAABkcnMvZG93bnJldi54bWxQSwECFAAUAAAACACHTuJAyUgQ27sDAABIEAAADgAAAAAAAAAB&#10;ACAAAABAAQAAZHJzL2Uyb0RvYy54bWxQSwUGAAAAAAYABgBZAQAAbQcAAAAA&#10;">
                <o:lock v:ext="edit" aspectratio="f"/>
                <v:shape id="任意多边形 32" o:spid="_x0000_s1026" o:spt="100" style="position:absolute;left:1751;top:1290;height:20;width:8743;" filled="f" stroked="t" coordsize="8743,20" o:gfxdata="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&#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gx6vuQAAANsAAAAPAAAAAAAAAAEAIAAAADgAAABkcnMvZG93bnJldi54bWxQ&#10;SwECFAAUAAAACACHTuJAMy8FnjsAAAA5AAAAEAAAAAAAAAABACAAAAAeAQAAZHJzL3NoYXBleG1s&#10;LnhtbFBLBQYAAAAABgAGAFsBAADIAwAAAAA=&#10;" path="m0,0l8742,0e">
                  <v:fill on="f" focussize="0,0"/>
                  <v:stroke weight="1.3pt" color="#231F20" joinstyle="round"/>
                  <v:imagedata o:title=""/>
                  <o:lock v:ext="edit" aspectratio="f"/>
                </v:shape>
                <v:shape id="任意多边形 33" o:spid="_x0000_s1026" o:spt="100" style="position:absolute;left:1764;top:1303;height:5193;width:20;" filled="f" stroked="t" coordsize="20,5193" o:gfxdata="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C0PDS+AAAA2wAAAA8AAAAAAAAAAQAgAAAAOAAAAGRycy9kb3ducmV2&#10;LnhtbFBLAQIUABQAAAAIAIdO4kAzLwWeOwAAADkAAAAQAAAAAAAAAAEAIAAAACMBAABkcnMvc2hh&#10;cGV4bWwueG1sUEsFBgAAAAAGAAYAWwEAAM0DAAAAAA==&#10;" path="m0,5192l0,0e">
                  <v:fill on="f" focussize="0,0"/>
                  <v:stroke weight="1.3pt" color="#231F20" joinstyle="round"/>
                  <v:imagedata o:title=""/>
                  <o:lock v:ext="edit" aspectratio="f"/>
                </v:shape>
                <v:shape id="任意多边形 34" o:spid="_x0000_s1026" o:spt="100" style="position:absolute;left:10481;top:1303;height:5193;width:20;" filled="f" stroked="t" coordsize="20,5193" o:gfxdata="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BmokO+AAAA2wAAAA8AAAAAAAAAAQAgAAAAOAAAAGRycy9kb3ducmV2&#10;LnhtbFBLAQIUABQAAAAIAIdO4kAzLwWeOwAAADkAAAAQAAAAAAAAAAEAIAAAACMBAABkcnMvc2hh&#10;cGV4bWwueG1sUEsFBgAAAAAGAAYAWwEAAM0DAAAAAA==&#10;" path="m0,5192l0,0e">
                  <v:fill on="f" focussize="0,0"/>
                  <v:stroke weight="1.3pt" color="#231F20" joinstyle="round"/>
                  <v:imagedata o:title=""/>
                  <o:lock v:ext="edit" aspectratio="f"/>
                </v:shape>
                <v:shape id="任意多边形 35" o:spid="_x0000_s1026" o:spt="100" style="position:absolute;left:1751;top:6508;height:20;width:8743;" filled="f" stroked="t" coordsize="8743,20" o:gfxdata="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1GA2L0AAADbAAAADwAAAAAAAAABACAAAAA4AAAAZHJzL2Rvd25yZXYu&#10;eG1sUEsBAhQAFAAAAAgAh07iQDMvBZ47AAAAOQAAABAAAAAAAAAAAQAgAAAAIgEAAGRycy9zaGFw&#10;ZXhtbC54bWxQSwUGAAAAAAYABgBbAQAAzAMAAAAA&#10;" path="m0,0l8742,0e">
                  <v:fill on="f" focussize="0,0"/>
                  <v:stroke weight="1.3pt" color="#231F20" joinstyle="round"/>
                  <v:imagedata o:title=""/>
                  <o:lock v:ext="edit" aspectratio="f"/>
                </v:shape>
                <v:shape id="文本框 36" o:spid="_x0000_s1026" o:spt="202" type="#_x0000_t202" style="position:absolute;left:1752;top:1277;height:5245;width:8833;" filled="f" stroked="f" coordsize="21600,21600" o:gfxdata="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6Eq9u+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pStyle w:val="3"/>
                          <w:kinsoku w:val="0"/>
                          <w:overflowPunct w:val="0"/>
                          <w:spacing w:before="135"/>
                          <w:ind w:left="1819" w:right="1906"/>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7：完善卫生健康人才体系</w:t>
                        </w:r>
                      </w:p>
                      <w:p>
                        <w:pPr>
                          <w:pStyle w:val="3"/>
                          <w:numPr>
                            <w:ilvl w:val="0"/>
                            <w:numId w:val="6"/>
                          </w:numPr>
                          <w:tabs>
                            <w:tab w:val="left" w:pos="1153"/>
                          </w:tabs>
                          <w:kinsoku w:val="0"/>
                          <w:overflowPunct w:val="0"/>
                          <w:spacing w:before="97" w:line="328" w:lineRule="auto"/>
                          <w:ind w:left="69" w:right="146" w:firstLine="680"/>
                          <w:jc w:val="both"/>
                          <w:rPr>
                            <w:rFonts w:hint="eastAsia"/>
                            <w:color w:val="231F20"/>
                            <w:spacing w:val="-27"/>
                            <w:sz w:val="32"/>
                            <w:szCs w:val="24"/>
                          </w:rPr>
                        </w:pPr>
                        <w:r>
                          <w:rPr>
                            <w:rFonts w:hint="eastAsia"/>
                            <w:color w:val="231F20"/>
                            <w:spacing w:val="3"/>
                            <w:sz w:val="32"/>
                            <w:szCs w:val="24"/>
                          </w:rPr>
                          <w:t xml:space="preserve">争取每年引进高层次紧缺专业技术人员 </w:t>
                        </w:r>
                        <w:r>
                          <w:rPr>
                            <w:rFonts w:hint="eastAsia"/>
                            <w:color w:val="231F20"/>
                            <w:sz w:val="32"/>
                            <w:szCs w:val="24"/>
                          </w:rPr>
                          <w:t>10-20</w:t>
                        </w:r>
                        <w:r>
                          <w:rPr>
                            <w:rFonts w:hint="eastAsia"/>
                            <w:color w:val="231F20"/>
                            <w:spacing w:val="-18"/>
                            <w:sz w:val="32"/>
                            <w:szCs w:val="24"/>
                          </w:rPr>
                          <w:t xml:space="preserve"> 名。到2025</w:t>
                        </w:r>
                        <w:r>
                          <w:rPr>
                            <w:rFonts w:hint="eastAsia"/>
                            <w:color w:val="231F20"/>
                            <w:spacing w:val="-17"/>
                            <w:sz w:val="32"/>
                            <w:szCs w:val="24"/>
                          </w:rPr>
                          <w:t xml:space="preserve"> 年，打造省级名医 </w:t>
                        </w:r>
                        <w:r>
                          <w:rPr>
                            <w:rFonts w:hint="eastAsia"/>
                            <w:color w:val="231F20"/>
                            <w:sz w:val="32"/>
                            <w:szCs w:val="24"/>
                          </w:rPr>
                          <w:t>1-2</w:t>
                        </w:r>
                        <w:r>
                          <w:rPr>
                            <w:rFonts w:hint="eastAsia"/>
                            <w:color w:val="231F20"/>
                            <w:spacing w:val="-20"/>
                            <w:sz w:val="32"/>
                            <w:szCs w:val="24"/>
                          </w:rPr>
                          <w:t xml:space="preserve"> 名，新区名医 </w:t>
                        </w:r>
                        <w:r>
                          <w:rPr>
                            <w:rFonts w:hint="eastAsia"/>
                            <w:color w:val="231F20"/>
                            <w:sz w:val="32"/>
                            <w:szCs w:val="24"/>
                          </w:rPr>
                          <w:t>5-10</w:t>
                        </w:r>
                        <w:r>
                          <w:rPr>
                            <w:rFonts w:hint="eastAsia"/>
                            <w:color w:val="231F20"/>
                            <w:spacing w:val="-12"/>
                            <w:sz w:val="32"/>
                            <w:szCs w:val="24"/>
                          </w:rPr>
                          <w:t xml:space="preserve"> 名，培养学科</w:t>
                        </w:r>
                        <w:r>
                          <w:rPr>
                            <w:rFonts w:hint="eastAsia"/>
                            <w:color w:val="231F20"/>
                            <w:spacing w:val="-29"/>
                            <w:sz w:val="32"/>
                            <w:szCs w:val="24"/>
                          </w:rPr>
                          <w:t xml:space="preserve">带头人 </w:t>
                        </w:r>
                        <w:r>
                          <w:rPr>
                            <w:rFonts w:hint="eastAsia"/>
                            <w:color w:val="231F20"/>
                            <w:sz w:val="32"/>
                            <w:szCs w:val="24"/>
                          </w:rPr>
                          <w:t>20</w:t>
                        </w:r>
                        <w:r>
                          <w:rPr>
                            <w:rFonts w:hint="eastAsia"/>
                            <w:color w:val="231F20"/>
                            <w:spacing w:val="-18"/>
                            <w:sz w:val="32"/>
                            <w:szCs w:val="24"/>
                          </w:rPr>
                          <w:t xml:space="preserve"> 名，学科技术骨干 </w:t>
                        </w:r>
                        <w:r>
                          <w:rPr>
                            <w:rFonts w:hint="eastAsia"/>
                            <w:color w:val="231F20"/>
                            <w:sz w:val="32"/>
                            <w:szCs w:val="24"/>
                          </w:rPr>
                          <w:t>50</w:t>
                        </w:r>
                        <w:r>
                          <w:rPr>
                            <w:rFonts w:hint="eastAsia"/>
                            <w:color w:val="231F20"/>
                            <w:spacing w:val="-27"/>
                            <w:sz w:val="32"/>
                            <w:szCs w:val="24"/>
                          </w:rPr>
                          <w:t xml:space="preserve"> 名。</w:t>
                        </w:r>
                      </w:p>
                      <w:p>
                        <w:pPr>
                          <w:pStyle w:val="3"/>
                          <w:numPr>
                            <w:ilvl w:val="0"/>
                            <w:numId w:val="6"/>
                          </w:numPr>
                          <w:tabs>
                            <w:tab w:val="left" w:pos="1153"/>
                          </w:tabs>
                          <w:kinsoku w:val="0"/>
                          <w:overflowPunct w:val="0"/>
                          <w:spacing w:line="328" w:lineRule="auto"/>
                          <w:ind w:left="69" w:firstLine="680"/>
                          <w:rPr>
                            <w:rFonts w:hint="eastAsia"/>
                            <w:color w:val="231F20"/>
                            <w:sz w:val="32"/>
                            <w:szCs w:val="24"/>
                          </w:rPr>
                        </w:pPr>
                        <w:r>
                          <w:rPr>
                            <w:rFonts w:hint="eastAsia"/>
                            <w:color w:val="231F20"/>
                            <w:spacing w:val="-5"/>
                            <w:sz w:val="32"/>
                            <w:szCs w:val="24"/>
                          </w:rPr>
                          <w:t xml:space="preserve">每年选派不少于 </w:t>
                        </w:r>
                        <w:r>
                          <w:rPr>
                            <w:rFonts w:hint="eastAsia"/>
                            <w:color w:val="231F20"/>
                            <w:sz w:val="32"/>
                            <w:szCs w:val="24"/>
                          </w:rPr>
                          <w:t>10%</w:t>
                        </w:r>
                        <w:r>
                          <w:rPr>
                            <w:rFonts w:hint="eastAsia"/>
                            <w:color w:val="231F20"/>
                            <w:spacing w:val="-8"/>
                            <w:sz w:val="32"/>
                            <w:szCs w:val="24"/>
                          </w:rPr>
                          <w:t xml:space="preserve"> 的专业技术人员外出进修 </w:t>
                        </w:r>
                        <w:r>
                          <w:rPr>
                            <w:rFonts w:hint="eastAsia"/>
                            <w:color w:val="231F20"/>
                            <w:sz w:val="32"/>
                            <w:szCs w:val="24"/>
                          </w:rPr>
                          <w:t>3</w:t>
                        </w:r>
                        <w:r>
                          <w:rPr>
                            <w:rFonts w:hint="eastAsia"/>
                            <w:color w:val="231F20"/>
                            <w:spacing w:val="-21"/>
                            <w:sz w:val="32"/>
                            <w:szCs w:val="24"/>
                          </w:rPr>
                          <w:t xml:space="preserve"> 个月</w:t>
                        </w:r>
                        <w:r>
                          <w:rPr>
                            <w:rFonts w:hint="eastAsia"/>
                            <w:color w:val="231F20"/>
                            <w:spacing w:val="-17"/>
                            <w:sz w:val="32"/>
                            <w:szCs w:val="24"/>
                          </w:rPr>
                          <w:t>以上，选派</w:t>
                        </w:r>
                        <w:r>
                          <w:rPr>
                            <w:rFonts w:hint="eastAsia"/>
                            <w:color w:val="231F20"/>
                            <w:sz w:val="32"/>
                            <w:szCs w:val="24"/>
                          </w:rPr>
                          <w:t>30%</w:t>
                        </w:r>
                        <w:r>
                          <w:rPr>
                            <w:rFonts w:hint="eastAsia"/>
                            <w:color w:val="231F20"/>
                            <w:spacing w:val="-13"/>
                            <w:sz w:val="32"/>
                            <w:szCs w:val="24"/>
                          </w:rPr>
                          <w:t xml:space="preserve"> 以上的专业技术人员参加至少一次的短期培训。</w:t>
                        </w:r>
                        <w:r>
                          <w:rPr>
                            <w:rFonts w:hint="eastAsia"/>
                            <w:color w:val="231F20"/>
                            <w:sz w:val="32"/>
                            <w:szCs w:val="24"/>
                          </w:rPr>
                          <w:t>大力实施“5555”计划。</w:t>
                        </w:r>
                      </w:p>
                      <w:p>
                        <w:pPr>
                          <w:pStyle w:val="3"/>
                          <w:numPr>
                            <w:ilvl w:val="0"/>
                            <w:numId w:val="6"/>
                          </w:numPr>
                          <w:tabs>
                            <w:tab w:val="left" w:pos="1153"/>
                          </w:tabs>
                          <w:kinsoku w:val="0"/>
                          <w:overflowPunct w:val="0"/>
                          <w:spacing w:line="328" w:lineRule="auto"/>
                          <w:ind w:left="69" w:right="150" w:firstLine="680"/>
                          <w:rPr>
                            <w:rFonts w:hint="eastAsia"/>
                            <w:color w:val="231F20"/>
                            <w:sz w:val="32"/>
                            <w:szCs w:val="24"/>
                          </w:rPr>
                        </w:pPr>
                        <w:r>
                          <w:rPr>
                            <w:rFonts w:hint="eastAsia"/>
                            <w:color w:val="231F20"/>
                            <w:spacing w:val="5"/>
                            <w:sz w:val="32"/>
                            <w:szCs w:val="24"/>
                          </w:rPr>
                          <w:t>实施全员聘任和竞聘上岗，落实职称评聘。创新公立</w:t>
                        </w:r>
                        <w:r>
                          <w:rPr>
                            <w:rFonts w:hint="eastAsia"/>
                            <w:color w:val="231F20"/>
                            <w:sz w:val="32"/>
                            <w:szCs w:val="24"/>
                          </w:rPr>
                          <w:t>医院人员管理方式，建立人员备案制管理办法。</w:t>
                        </w:r>
                      </w:p>
                    </w:txbxContent>
                  </v:textbox>
                </v:shape>
                <w10:wrap type="topAndBottom"/>
              </v:group>
            </w:pict>
          </mc:Fallback>
        </mc:AlternateContent>
      </w:r>
      <w:r>
        <w:rPr>
          <w:rFonts w:hint="eastAsia"/>
          <w:color w:val="231F20"/>
          <w:sz w:val="32"/>
          <w:szCs w:val="24"/>
        </w:rPr>
        <w:t>待遇保障。完善医疗机构领导班子考评机制，实现科学评估、能上能下、动态管理机制。</w:t>
      </w:r>
    </w:p>
    <w:p>
      <w:pPr>
        <w:pStyle w:val="3"/>
        <w:kinsoku w:val="0"/>
        <w:overflowPunct w:val="0"/>
        <w:spacing w:before="183"/>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八、推进卫生健康和职业卫生法治建设</w:t>
      </w:r>
    </w:p>
    <w:p>
      <w:pPr>
        <w:pStyle w:val="3"/>
        <w:kinsoku w:val="0"/>
        <w:overflowPunct w:val="0"/>
        <w:spacing w:before="97" w:line="328" w:lineRule="auto"/>
        <w:ind w:right="270" w:firstLine="680"/>
        <w:jc w:val="both"/>
        <w:rPr>
          <w:rFonts w:hint="eastAsia"/>
          <w:color w:val="231F20"/>
          <w:sz w:val="32"/>
          <w:szCs w:val="24"/>
        </w:rPr>
      </w:pPr>
      <w:r>
        <w:rPr>
          <w:rFonts w:hint="default" w:ascii="楷体_GB2312" w:hAnsi="楷体_GB2312" w:eastAsia="楷体_GB2312"/>
          <w:color w:val="231F20"/>
          <w:sz w:val="32"/>
          <w:szCs w:val="24"/>
        </w:rPr>
        <w:t>（三十三）进一步加强法治建设。</w:t>
      </w:r>
      <w:r>
        <w:rPr>
          <w:rFonts w:hint="eastAsia"/>
          <w:color w:val="231F20"/>
          <w:sz w:val="32"/>
          <w:szCs w:val="24"/>
        </w:rPr>
        <w:t>推进卫生健康领域简政放权、放管结合，提高服务效率。加强卫生健康领域监督执法体系和能力建设，推进集公共卫生、医疗卫生为一体的综合监督执法，加快构建事前、事中、事后监管体系，全面推行行政执法公示、执法全过程记录、重大执法决定法制审核“三项制度”，提高新区卫生健康法治化水平。开展“八五”普法，坚持以卫生法治宣传教育为基础，以依法行政、依法执业、依法办事和落实执法责任为重点，推动全行业法治化管理。</w:t>
      </w:r>
    </w:p>
    <w:p>
      <w:pPr>
        <w:pStyle w:val="3"/>
        <w:kinsoku w:val="0"/>
        <w:overflowPunct w:val="0"/>
        <w:spacing w:line="396" w:lineRule="exact"/>
        <w:ind w:left="957"/>
        <w:rPr>
          <w:rFonts w:hint="eastAsia"/>
          <w:color w:val="231F20"/>
          <w:sz w:val="32"/>
          <w:szCs w:val="24"/>
        </w:rPr>
      </w:pPr>
      <w:r>
        <w:rPr>
          <w:rFonts w:hint="default" w:ascii="楷体_GB2312" w:hAnsi="楷体_GB2312" w:eastAsia="楷体_GB2312"/>
          <w:color w:val="231F20"/>
          <w:sz w:val="32"/>
          <w:szCs w:val="24"/>
        </w:rPr>
        <w:t>（三十四）建立完善医疗卫生监管体系。</w:t>
      </w:r>
      <w:r>
        <w:rPr>
          <w:rFonts w:hint="eastAsia"/>
          <w:color w:val="231F20"/>
          <w:sz w:val="32"/>
          <w:szCs w:val="24"/>
        </w:rPr>
        <w:t>完善医疗卫生信</w:t>
      </w:r>
    </w:p>
    <w:p>
      <w:pPr>
        <w:pStyle w:val="3"/>
        <w:kinsoku w:val="0"/>
        <w:overflowPunct w:val="0"/>
        <w:spacing w:before="150" w:line="328" w:lineRule="auto"/>
        <w:ind w:right="115"/>
        <w:rPr>
          <w:rFonts w:hint="eastAsia"/>
          <w:color w:val="231F20"/>
          <w:spacing w:val="1"/>
          <w:sz w:val="32"/>
          <w:szCs w:val="24"/>
        </w:rPr>
      </w:pPr>
      <w:r>
        <w:rPr>
          <w:rFonts w:hint="eastAsia"/>
          <w:color w:val="231F20"/>
          <w:spacing w:val="-28"/>
          <w:sz w:val="32"/>
          <w:szCs w:val="24"/>
        </w:rPr>
        <w:t xml:space="preserve">用体系，全面推行“双随机、一公开”监管和“互联网 + 监管”， </w:t>
      </w:r>
      <w:r>
        <w:rPr>
          <w:rFonts w:hint="eastAsia"/>
          <w:color w:val="231F20"/>
          <w:spacing w:val="1"/>
          <w:sz w:val="32"/>
          <w:szCs w:val="24"/>
        </w:rPr>
        <w:t>严格落实监管抽查事项全覆盖，继续开展非法行医、职业卫生</w:t>
      </w:r>
    </w:p>
    <w:p>
      <w:pPr>
        <w:pStyle w:val="3"/>
        <w:kinsoku w:val="0"/>
        <w:overflowPunct w:val="0"/>
        <w:spacing w:before="150" w:line="328" w:lineRule="auto"/>
        <w:ind w:right="115"/>
        <w:rPr>
          <w:rFonts w:hint="eastAsia"/>
          <w:color w:val="231F20"/>
          <w:spacing w:val="1"/>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line="328" w:lineRule="auto"/>
        <w:ind w:right="270"/>
        <w:jc w:val="both"/>
        <w:rPr>
          <w:rFonts w:hint="eastAsia"/>
          <w:color w:val="231F20"/>
          <w:sz w:val="32"/>
          <w:szCs w:val="24"/>
        </w:rPr>
      </w:pPr>
      <w:r>
        <w:rPr>
          <w:rFonts w:hint="eastAsia"/>
          <w:color w:val="231F20"/>
          <w:sz w:val="32"/>
          <w:szCs w:val="24"/>
        </w:rPr>
        <w:t>尘肺专项整治。建立卫生监督执法机构和队伍，提升执法人员业务素质和能力水平，维护公共卫生和医疗服务秩序，保障人民群众健康权益。</w:t>
      </w:r>
    </w:p>
    <w:p>
      <w:pPr>
        <w:pStyle w:val="3"/>
        <w:kinsoku w:val="0"/>
        <w:overflowPunct w:val="0"/>
        <w:spacing w:line="328" w:lineRule="auto"/>
        <w:ind w:right="270" w:firstLine="680"/>
        <w:jc w:val="both"/>
        <w:rPr>
          <w:rFonts w:hint="eastAsia"/>
          <w:color w:val="231F20"/>
          <w:sz w:val="32"/>
          <w:szCs w:val="24"/>
        </w:rPr>
      </w:pPr>
      <w:r>
        <w:rPr>
          <w:rFonts w:hint="default"/>
          <w:color w:val="231F20"/>
          <w:sz w:val="32"/>
          <w:szCs w:val="24"/>
        </w:rPr>
        <mc:AlternateContent>
          <mc:Choice Requires="wps">
            <w:drawing>
              <wp:anchor distT="0" distB="0" distL="0" distR="0" simplePos="0" relativeHeight="251665408" behindDoc="0" locked="0" layoutInCell="1" allowOverlap="1">
                <wp:simplePos x="0" y="0"/>
                <wp:positionH relativeFrom="page">
                  <wp:posOffset>1123950</wp:posOffset>
                </wp:positionH>
                <wp:positionV relativeFrom="paragraph">
                  <wp:posOffset>3272155</wp:posOffset>
                </wp:positionV>
                <wp:extent cx="5535295" cy="2644140"/>
                <wp:effectExtent l="8255" t="8255" r="27305" b="24765"/>
                <wp:wrapTopAndBottom/>
                <wp:docPr id="36" name="文本框 37"/>
                <wp:cNvGraphicFramePr/>
                <a:graphic xmlns:a="http://schemas.openxmlformats.org/drawingml/2006/main">
                  <a:graphicData uri="http://schemas.microsoft.com/office/word/2010/wordprocessingShape">
                    <wps:wsp>
                      <wps:cNvSpPr txBox="true"/>
                      <wps:spPr>
                        <a:xfrm>
                          <a:off x="0" y="0"/>
                          <a:ext cx="5535295" cy="2644140"/>
                        </a:xfrm>
                        <a:prstGeom prst="rect">
                          <a:avLst/>
                        </a:prstGeom>
                        <a:noFill/>
                        <a:ln w="16509" cap="flat" cmpd="sng">
                          <a:solidFill>
                            <a:srgbClr val="231F20"/>
                          </a:solidFill>
                          <a:prstDash val="solid"/>
                          <a:miter/>
                          <a:headEnd type="none" w="med" len="med"/>
                          <a:tailEnd type="none" w="med" len="med"/>
                        </a:ln>
                      </wps:spPr>
                      <wps:txbx>
                        <w:txbxContent>
                          <w:p>
                            <w:pPr>
                              <w:pStyle w:val="3"/>
                              <w:kinsoku w:val="0"/>
                              <w:overflowPunct w:val="0"/>
                              <w:spacing w:before="142"/>
                              <w:ind w:left="1312" w:right="1311"/>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8：推进卫生健康和职业卫生法治建设</w:t>
                            </w:r>
                          </w:p>
                          <w:p>
                            <w:pPr>
                              <w:pStyle w:val="3"/>
                              <w:numPr>
                                <w:ilvl w:val="0"/>
                                <w:numId w:val="0"/>
                              </w:numPr>
                              <w:tabs>
                                <w:tab w:val="left" w:pos="1127"/>
                              </w:tabs>
                              <w:kinsoku w:val="0"/>
                              <w:overflowPunct w:val="0"/>
                              <w:spacing w:before="97" w:line="328" w:lineRule="auto"/>
                              <w:ind w:left="0" w:right="34" w:firstLine="660" w:firstLineChars="200"/>
                              <w:jc w:val="both"/>
                              <w:rPr>
                                <w:rFonts w:hint="eastAsia"/>
                                <w:color w:val="231F20"/>
                                <w:spacing w:val="-5"/>
                                <w:sz w:val="32"/>
                                <w:szCs w:val="24"/>
                              </w:rPr>
                            </w:pPr>
                            <w:r>
                              <w:rPr>
                                <w:rFonts w:hint="eastAsia"/>
                                <w:color w:val="231F20"/>
                                <w:spacing w:val="5"/>
                                <w:sz w:val="32"/>
                                <w:szCs w:val="24"/>
                                <w:lang w:val="en-US" w:eastAsia="zh-CN"/>
                              </w:rPr>
                              <w:t>1.</w:t>
                            </w:r>
                            <w:r>
                              <w:rPr>
                                <w:rFonts w:hint="eastAsia"/>
                                <w:color w:val="231F20"/>
                                <w:spacing w:val="5"/>
                                <w:sz w:val="32"/>
                                <w:szCs w:val="24"/>
                              </w:rPr>
                              <w:t>全面推行行政执法公示、执法全过程记录、重大执法</w:t>
                            </w:r>
                            <w:r>
                              <w:rPr>
                                <w:rFonts w:hint="eastAsia"/>
                                <w:color w:val="231F20"/>
                                <w:spacing w:val="-5"/>
                                <w:sz w:val="32"/>
                                <w:szCs w:val="24"/>
                              </w:rPr>
                              <w:t>决定法制审核“三项制度”，提高新区卫生健康法治化水平。</w:t>
                            </w:r>
                          </w:p>
                          <w:p>
                            <w:pPr>
                              <w:pStyle w:val="3"/>
                              <w:numPr>
                                <w:ilvl w:val="0"/>
                                <w:numId w:val="0"/>
                              </w:numPr>
                              <w:tabs>
                                <w:tab w:val="left" w:pos="1124"/>
                              </w:tabs>
                              <w:kinsoku w:val="0"/>
                              <w:overflowPunct w:val="0"/>
                              <w:spacing w:line="407" w:lineRule="exact"/>
                              <w:ind w:left="0" w:firstLine="640" w:firstLineChars="200"/>
                              <w:jc w:val="both"/>
                              <w:rPr>
                                <w:rFonts w:hint="eastAsia"/>
                                <w:color w:val="231F20"/>
                                <w:sz w:val="32"/>
                                <w:szCs w:val="24"/>
                              </w:rPr>
                            </w:pPr>
                            <w:r>
                              <w:rPr>
                                <w:rFonts w:hint="eastAsia"/>
                                <w:color w:val="231F20"/>
                                <w:sz w:val="32"/>
                                <w:szCs w:val="24"/>
                                <w:lang w:val="en-US" w:eastAsia="zh-CN"/>
                              </w:rPr>
                              <w:t>2.</w:t>
                            </w:r>
                            <w:r>
                              <w:rPr>
                                <w:rFonts w:hint="eastAsia"/>
                                <w:color w:val="231F20"/>
                                <w:sz w:val="32"/>
                                <w:szCs w:val="24"/>
                              </w:rPr>
                              <w:t>开展非法行医、职业卫生尘肺专项整治。</w:t>
                            </w:r>
                          </w:p>
                          <w:p>
                            <w:pPr>
                              <w:pStyle w:val="3"/>
                              <w:numPr>
                                <w:ilvl w:val="0"/>
                                <w:numId w:val="0"/>
                              </w:numPr>
                              <w:tabs>
                                <w:tab w:val="left" w:pos="1126"/>
                              </w:tabs>
                              <w:kinsoku w:val="0"/>
                              <w:overflowPunct w:val="0"/>
                              <w:spacing w:before="150" w:line="328" w:lineRule="auto"/>
                              <w:ind w:left="0" w:right="28" w:firstLine="664" w:firstLineChars="200"/>
                              <w:jc w:val="both"/>
                              <w:rPr>
                                <w:rFonts w:hint="eastAsia"/>
                                <w:color w:val="231F20"/>
                                <w:sz w:val="32"/>
                                <w:szCs w:val="24"/>
                              </w:rPr>
                            </w:pPr>
                            <w:r>
                              <w:rPr>
                                <w:rFonts w:hint="eastAsia"/>
                                <w:color w:val="231F20"/>
                                <w:spacing w:val="6"/>
                                <w:sz w:val="32"/>
                                <w:szCs w:val="24"/>
                                <w:lang w:val="en-US" w:eastAsia="zh-CN"/>
                              </w:rPr>
                              <w:t>3.</w:t>
                            </w:r>
                            <w:r>
                              <w:rPr>
                                <w:rFonts w:hint="eastAsia"/>
                                <w:color w:val="231F20"/>
                                <w:spacing w:val="6"/>
                                <w:sz w:val="32"/>
                                <w:szCs w:val="24"/>
                              </w:rPr>
                              <w:t>围绕新区化工园区建设，在新区二级综合医院重点打</w:t>
                            </w:r>
                            <w:r>
                              <w:rPr>
                                <w:rFonts w:hint="eastAsia"/>
                                <w:color w:val="231F20"/>
                                <w:spacing w:val="9"/>
                                <w:sz w:val="32"/>
                                <w:szCs w:val="24"/>
                              </w:rPr>
                              <w:t>造特色职业病诊断专科，建设新区化工园区化学中毒医疗救</w:t>
                            </w:r>
                            <w:r>
                              <w:rPr>
                                <w:rFonts w:hint="eastAsia"/>
                                <w:color w:val="231F20"/>
                                <w:sz w:val="32"/>
                                <w:szCs w:val="24"/>
                              </w:rPr>
                              <w:t>治基地。</w:t>
                            </w:r>
                          </w:p>
                        </w:txbxContent>
                      </wps:txbx>
                      <wps:bodyPr vert="horz" wrap="square" lIns="0" tIns="0" rIns="0" bIns="0" upright="true"/>
                    </wps:wsp>
                  </a:graphicData>
                </a:graphic>
              </wp:anchor>
            </w:drawing>
          </mc:Choice>
          <mc:Fallback>
            <w:pict>
              <v:shape id="文本框 37" o:spid="_x0000_s1026" o:spt="202" type="#_x0000_t202" style="position:absolute;left:0pt;margin-left:88.5pt;margin-top:257.65pt;height:208.2pt;width:435.85pt;mso-position-horizontal-relative:page;mso-wrap-distance-bottom:0pt;mso-wrap-distance-top:0pt;z-index:251665408;mso-width-relative:page;mso-height-relative:page;" filled="f" stroked="t" coordsize="21600,21600" o:gfxdata="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MliUK/bAAAADAEAAA8AAAAAAAAAAQAgAAAAOAAAAGRycy9kb3ducmV2LnhtbFBLAQIU&#10;ABQAAAAIAIdO4kCgt+qSEwIAAAcEAAAOAAAAAAAAAAEAIAAAAEABAABkcnMvZTJvRG9jLnhtbFBL&#10;BQYAAAAABgAGAFkBAADFBQAAAAA=&#10;">
                <v:fill on="f" focussize="0,0"/>
                <v:stroke weight="1.29992125984252pt" color="#231F20" joinstyle="miter"/>
                <v:imagedata o:title=""/>
                <o:lock v:ext="edit" aspectratio="f"/>
                <v:textbox inset="0mm,0mm,0mm,0mm">
                  <w:txbxContent>
                    <w:p>
                      <w:pPr>
                        <w:pStyle w:val="3"/>
                        <w:kinsoku w:val="0"/>
                        <w:overflowPunct w:val="0"/>
                        <w:spacing w:before="142"/>
                        <w:ind w:left="1312" w:right="1311"/>
                        <w:jc w:val="center"/>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专栏 8：推进卫生健康和职业卫生法治建设</w:t>
                      </w:r>
                    </w:p>
                    <w:p>
                      <w:pPr>
                        <w:pStyle w:val="3"/>
                        <w:numPr>
                          <w:ilvl w:val="0"/>
                          <w:numId w:val="0"/>
                        </w:numPr>
                        <w:tabs>
                          <w:tab w:val="left" w:pos="1127"/>
                        </w:tabs>
                        <w:kinsoku w:val="0"/>
                        <w:overflowPunct w:val="0"/>
                        <w:spacing w:before="97" w:line="328" w:lineRule="auto"/>
                        <w:ind w:left="0" w:right="34" w:firstLine="660" w:firstLineChars="200"/>
                        <w:jc w:val="both"/>
                        <w:rPr>
                          <w:rFonts w:hint="eastAsia"/>
                          <w:color w:val="231F20"/>
                          <w:spacing w:val="-5"/>
                          <w:sz w:val="32"/>
                          <w:szCs w:val="24"/>
                        </w:rPr>
                      </w:pPr>
                      <w:r>
                        <w:rPr>
                          <w:rFonts w:hint="eastAsia"/>
                          <w:color w:val="231F20"/>
                          <w:spacing w:val="5"/>
                          <w:sz w:val="32"/>
                          <w:szCs w:val="24"/>
                          <w:lang w:val="en-US" w:eastAsia="zh-CN"/>
                        </w:rPr>
                        <w:t>1.</w:t>
                      </w:r>
                      <w:r>
                        <w:rPr>
                          <w:rFonts w:hint="eastAsia"/>
                          <w:color w:val="231F20"/>
                          <w:spacing w:val="5"/>
                          <w:sz w:val="32"/>
                          <w:szCs w:val="24"/>
                        </w:rPr>
                        <w:t>全面推行行政执法公示、执法全过程记录、重大执法</w:t>
                      </w:r>
                      <w:r>
                        <w:rPr>
                          <w:rFonts w:hint="eastAsia"/>
                          <w:color w:val="231F20"/>
                          <w:spacing w:val="-5"/>
                          <w:sz w:val="32"/>
                          <w:szCs w:val="24"/>
                        </w:rPr>
                        <w:t>决定法制审核“三项制度”，提高新区卫生健康法治化水平。</w:t>
                      </w:r>
                    </w:p>
                    <w:p>
                      <w:pPr>
                        <w:pStyle w:val="3"/>
                        <w:numPr>
                          <w:ilvl w:val="0"/>
                          <w:numId w:val="0"/>
                        </w:numPr>
                        <w:tabs>
                          <w:tab w:val="left" w:pos="1124"/>
                        </w:tabs>
                        <w:kinsoku w:val="0"/>
                        <w:overflowPunct w:val="0"/>
                        <w:spacing w:line="407" w:lineRule="exact"/>
                        <w:ind w:left="0" w:firstLine="640" w:firstLineChars="200"/>
                        <w:jc w:val="both"/>
                        <w:rPr>
                          <w:rFonts w:hint="eastAsia"/>
                          <w:color w:val="231F20"/>
                          <w:sz w:val="32"/>
                          <w:szCs w:val="24"/>
                        </w:rPr>
                      </w:pPr>
                      <w:r>
                        <w:rPr>
                          <w:rFonts w:hint="eastAsia"/>
                          <w:color w:val="231F20"/>
                          <w:sz w:val="32"/>
                          <w:szCs w:val="24"/>
                          <w:lang w:val="en-US" w:eastAsia="zh-CN"/>
                        </w:rPr>
                        <w:t>2.</w:t>
                      </w:r>
                      <w:r>
                        <w:rPr>
                          <w:rFonts w:hint="eastAsia"/>
                          <w:color w:val="231F20"/>
                          <w:sz w:val="32"/>
                          <w:szCs w:val="24"/>
                        </w:rPr>
                        <w:t>开展非法行医、职业卫生尘肺专项整治。</w:t>
                      </w:r>
                    </w:p>
                    <w:p>
                      <w:pPr>
                        <w:pStyle w:val="3"/>
                        <w:numPr>
                          <w:ilvl w:val="0"/>
                          <w:numId w:val="0"/>
                        </w:numPr>
                        <w:tabs>
                          <w:tab w:val="left" w:pos="1126"/>
                        </w:tabs>
                        <w:kinsoku w:val="0"/>
                        <w:overflowPunct w:val="0"/>
                        <w:spacing w:before="150" w:line="328" w:lineRule="auto"/>
                        <w:ind w:left="0" w:right="28" w:firstLine="664" w:firstLineChars="200"/>
                        <w:jc w:val="both"/>
                        <w:rPr>
                          <w:rFonts w:hint="eastAsia"/>
                          <w:color w:val="231F20"/>
                          <w:sz w:val="32"/>
                          <w:szCs w:val="24"/>
                        </w:rPr>
                      </w:pPr>
                      <w:r>
                        <w:rPr>
                          <w:rFonts w:hint="eastAsia"/>
                          <w:color w:val="231F20"/>
                          <w:spacing w:val="6"/>
                          <w:sz w:val="32"/>
                          <w:szCs w:val="24"/>
                          <w:lang w:val="en-US" w:eastAsia="zh-CN"/>
                        </w:rPr>
                        <w:t>3.</w:t>
                      </w:r>
                      <w:r>
                        <w:rPr>
                          <w:rFonts w:hint="eastAsia"/>
                          <w:color w:val="231F20"/>
                          <w:spacing w:val="6"/>
                          <w:sz w:val="32"/>
                          <w:szCs w:val="24"/>
                        </w:rPr>
                        <w:t>围绕新区化工园区建设，在新区二级综合医院重点打</w:t>
                      </w:r>
                      <w:r>
                        <w:rPr>
                          <w:rFonts w:hint="eastAsia"/>
                          <w:color w:val="231F20"/>
                          <w:spacing w:val="9"/>
                          <w:sz w:val="32"/>
                          <w:szCs w:val="24"/>
                        </w:rPr>
                        <w:t>造特色职业病诊断专科，建设新区化工园区化学中毒医疗救</w:t>
                      </w:r>
                      <w:r>
                        <w:rPr>
                          <w:rFonts w:hint="eastAsia"/>
                          <w:color w:val="231F20"/>
                          <w:sz w:val="32"/>
                          <w:szCs w:val="24"/>
                        </w:rPr>
                        <w:t>治基地。</w:t>
                      </w:r>
                    </w:p>
                  </w:txbxContent>
                </v:textbox>
                <w10:wrap type="topAndBottom"/>
              </v:shape>
            </w:pict>
          </mc:Fallback>
        </mc:AlternateContent>
      </w:r>
      <w:r>
        <w:rPr>
          <w:rFonts w:hint="default" w:ascii="楷体_GB2312" w:hAnsi="楷体_GB2312" w:eastAsia="楷体_GB2312"/>
          <w:color w:val="231F20"/>
          <w:sz w:val="32"/>
          <w:szCs w:val="24"/>
        </w:rPr>
        <w:t>（三十五）健全完善职业病防治技术支撑体系。</w:t>
      </w:r>
      <w:r>
        <w:rPr>
          <w:rFonts w:hint="eastAsia"/>
          <w:color w:val="231F20"/>
          <w:sz w:val="32"/>
          <w:szCs w:val="24"/>
        </w:rPr>
        <w:t>完善职业病监测评估技术支撑网络，督促用人单位落实主体责任，坚持以粉尘、毒物、噪声、电离辐射等职业危害防护治理为重点， 加强职业病危害检验检测能力。围绕新区化工园区建设，在新区二级综合医院重点打造特色职业病诊断专科，建设新区化工园区化学中毒医疗救治基地，坚持预防为主、防治结合，引导用人单位开展技术改造和转型升级，从源头预防控制职业病危害，实现职业病防治宣传工作的通俗化和普及化，提高全社会防治意识。</w:t>
      </w:r>
    </w:p>
    <w:p>
      <w:pPr>
        <w:pStyle w:val="3"/>
        <w:kinsoku w:val="0"/>
        <w:overflowPunct w:val="0"/>
        <w:spacing w:line="328" w:lineRule="auto"/>
        <w:ind w:right="270" w:firstLine="68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ind w:left="0"/>
        <w:rPr>
          <w:rFonts w:hint="eastAsia"/>
          <w:sz w:val="20"/>
          <w:szCs w:val="24"/>
        </w:rPr>
      </w:pPr>
    </w:p>
    <w:p>
      <w:pPr>
        <w:pStyle w:val="3"/>
        <w:kinsoku w:val="0"/>
        <w:overflowPunct w:val="0"/>
        <w:ind w:left="0"/>
        <w:rPr>
          <w:rFonts w:hint="eastAsia"/>
          <w:sz w:val="20"/>
          <w:szCs w:val="24"/>
        </w:rPr>
      </w:pPr>
    </w:p>
    <w:p>
      <w:pPr>
        <w:pStyle w:val="3"/>
        <w:kinsoku w:val="0"/>
        <w:overflowPunct w:val="0"/>
        <w:spacing w:before="7"/>
        <w:ind w:left="0"/>
        <w:rPr>
          <w:rFonts w:hint="eastAsia"/>
          <w:sz w:val="21"/>
          <w:szCs w:val="24"/>
        </w:rPr>
      </w:pPr>
    </w:p>
    <w:p>
      <w:pPr>
        <w:pStyle w:val="2"/>
        <w:tabs>
          <w:tab w:val="left" w:pos="1599"/>
        </w:tabs>
        <w:kinsoku w:val="0"/>
        <w:overflowPunct w:val="0"/>
        <w:spacing w:line="693" w:lineRule="exact"/>
        <w:rPr>
          <w:rFonts w:hint="eastAsia"/>
          <w:color w:val="231F20"/>
          <w:sz w:val="40"/>
          <w:szCs w:val="24"/>
        </w:rPr>
      </w:pPr>
      <w:r>
        <w:rPr>
          <w:rFonts w:hint="eastAsia"/>
          <w:color w:val="231F20"/>
          <w:sz w:val="40"/>
          <w:szCs w:val="24"/>
        </w:rPr>
        <w:t>第四章</w:t>
      </w:r>
      <w:r>
        <w:rPr>
          <w:rFonts w:hint="eastAsia"/>
          <w:color w:val="231F20"/>
          <w:sz w:val="40"/>
          <w:szCs w:val="24"/>
        </w:rPr>
        <w:tab/>
      </w:r>
      <w:r>
        <w:rPr>
          <w:rFonts w:hint="eastAsia"/>
          <w:color w:val="231F20"/>
          <w:sz w:val="40"/>
          <w:szCs w:val="24"/>
        </w:rPr>
        <w:t>保障措施</w:t>
      </w:r>
    </w:p>
    <w:p>
      <w:pPr>
        <w:pStyle w:val="3"/>
        <w:kinsoku w:val="0"/>
        <w:overflowPunct w:val="0"/>
        <w:spacing w:before="15"/>
        <w:ind w:left="0"/>
        <w:rPr>
          <w:rFonts w:hint="eastAsia" w:ascii="方正小标宋简体" w:hAnsi="方正小标宋简体" w:eastAsia="方正小标宋简体"/>
          <w:sz w:val="25"/>
          <w:szCs w:val="24"/>
        </w:rPr>
      </w:pPr>
    </w:p>
    <w:p>
      <w:pPr>
        <w:pStyle w:val="3"/>
        <w:kinsoku w:val="0"/>
        <w:overflowPunct w:val="0"/>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一、加强组织领导</w:t>
      </w:r>
    </w:p>
    <w:p>
      <w:pPr>
        <w:pStyle w:val="3"/>
        <w:kinsoku w:val="0"/>
        <w:overflowPunct w:val="0"/>
        <w:spacing w:before="97" w:line="328" w:lineRule="auto"/>
        <w:ind w:right="115" w:firstLine="680"/>
        <w:rPr>
          <w:rFonts w:hint="eastAsia"/>
          <w:color w:val="231F20"/>
          <w:sz w:val="32"/>
          <w:szCs w:val="24"/>
        </w:rPr>
      </w:pPr>
      <w:r>
        <w:rPr>
          <w:rFonts w:hint="eastAsia"/>
          <w:color w:val="231F20"/>
          <w:sz w:val="32"/>
          <w:szCs w:val="24"/>
        </w:rPr>
        <w:t xml:space="preserve">各园区、各部门要切实加强组织领导，把提高全民健康水平作为巩固全面小康、改善民生的重点工作，完善工作机制， </w:t>
      </w:r>
      <w:r>
        <w:rPr>
          <w:rFonts w:hint="eastAsia"/>
          <w:color w:val="231F20"/>
          <w:spacing w:val="2"/>
          <w:sz w:val="32"/>
          <w:szCs w:val="24"/>
        </w:rPr>
        <w:t>协调解决规划实施过程中遇到的困难和问题。将本规划确定的</w:t>
      </w:r>
      <w:r>
        <w:rPr>
          <w:rFonts w:hint="eastAsia"/>
          <w:color w:val="231F20"/>
          <w:spacing w:val="1"/>
          <w:sz w:val="32"/>
          <w:szCs w:val="24"/>
        </w:rPr>
        <w:t>主要目标和指标纳入国民经济和社会发展年度计划，对主要指</w:t>
      </w:r>
      <w:r>
        <w:rPr>
          <w:rFonts w:hint="eastAsia"/>
          <w:color w:val="231F20"/>
          <w:spacing w:val="-22"/>
          <w:sz w:val="32"/>
          <w:szCs w:val="24"/>
        </w:rPr>
        <w:t>标设置年度目标，明确单位职责，合理配置资源，认真组织落实。</w:t>
      </w:r>
      <w:r>
        <w:rPr>
          <w:rFonts w:hint="eastAsia"/>
          <w:color w:val="231F20"/>
          <w:spacing w:val="2"/>
          <w:sz w:val="32"/>
          <w:szCs w:val="24"/>
        </w:rPr>
        <w:t>积极推进卫生行业属地化管理，依法对区域内各种卫生资源进</w:t>
      </w:r>
      <w:r>
        <w:rPr>
          <w:rFonts w:hint="eastAsia"/>
          <w:color w:val="231F20"/>
          <w:sz w:val="32"/>
          <w:szCs w:val="24"/>
        </w:rPr>
        <w:t>行规划和调控，广泛调动各类社会组织、志愿者团体和企业组织的主动性、积极性，努力构建全社会共同促进卫生健康事业发展新格局。</w:t>
      </w:r>
    </w:p>
    <w:p>
      <w:pPr>
        <w:pStyle w:val="3"/>
        <w:kinsoku w:val="0"/>
        <w:overflowPunct w:val="0"/>
        <w:spacing w:line="448"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二、完善投入机制</w:t>
      </w:r>
    </w:p>
    <w:p>
      <w:pPr>
        <w:pStyle w:val="3"/>
        <w:kinsoku w:val="0"/>
        <w:overflowPunct w:val="0"/>
        <w:spacing w:before="97" w:line="328" w:lineRule="auto"/>
        <w:ind w:right="270" w:firstLine="680"/>
        <w:jc w:val="both"/>
        <w:rPr>
          <w:rFonts w:hint="eastAsia"/>
          <w:color w:val="231F20"/>
          <w:sz w:val="32"/>
          <w:szCs w:val="24"/>
        </w:rPr>
      </w:pPr>
      <w:r>
        <w:rPr>
          <w:rFonts w:hint="eastAsia"/>
          <w:color w:val="231F20"/>
          <w:sz w:val="32"/>
          <w:szCs w:val="24"/>
        </w:rPr>
        <w:t>确定政府在提供公共卫生、基本医疗服务和卫生事业发展投入中的主导地位。在增加卫生资源总量、优化结构、加强制度建设与创新三方面同步推进，建立完善政府投入机制，加大卫生投入力度，确保每年政府对卫生机构财政投入占政府总支出的比例高于全省同期平均水平；不断提高公共卫生投入占政府投入的比例，保证卫生健康事业各项发展经费的落实。坚持补短板、强弱项、堵漏洞，对资源短缺的公共卫生体系、院前急救、精神卫生、老年医疗、婴幼儿照护、康复护理等给予适当的政策倾斜。鼓励多渠道筹集资金，引导社会资本进入医疗卫生服务领域，重点发展高端和特需医疗服务，满足人民群众</w:t>
      </w:r>
    </w:p>
    <w:p>
      <w:pPr>
        <w:pStyle w:val="3"/>
        <w:kinsoku w:val="0"/>
        <w:overflowPunct w:val="0"/>
        <w:spacing w:before="97" w:line="328" w:lineRule="auto"/>
        <w:ind w:right="270" w:firstLine="680"/>
        <w:jc w:val="both"/>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2"/>
        <w:ind w:left="0"/>
        <w:rPr>
          <w:rFonts w:hint="eastAsia"/>
          <w:sz w:val="19"/>
          <w:szCs w:val="24"/>
        </w:rPr>
      </w:pPr>
    </w:p>
    <w:p>
      <w:pPr>
        <w:pStyle w:val="3"/>
        <w:kinsoku w:val="0"/>
        <w:overflowPunct w:val="0"/>
        <w:spacing w:before="56"/>
        <w:rPr>
          <w:rFonts w:hint="eastAsia"/>
          <w:color w:val="231F20"/>
          <w:sz w:val="32"/>
          <w:szCs w:val="24"/>
        </w:rPr>
      </w:pPr>
      <w:r>
        <w:rPr>
          <w:rFonts w:hint="eastAsia"/>
          <w:color w:val="231F20"/>
          <w:sz w:val="32"/>
          <w:szCs w:val="24"/>
        </w:rPr>
        <w:t>不同层次的医疗卫生服务需求。</w:t>
      </w:r>
    </w:p>
    <w:p>
      <w:pPr>
        <w:pStyle w:val="3"/>
        <w:kinsoku w:val="0"/>
        <w:overflowPunct w:val="0"/>
        <w:spacing w:before="108"/>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三、明确工作职责</w:t>
      </w:r>
    </w:p>
    <w:p>
      <w:pPr>
        <w:pStyle w:val="3"/>
        <w:kinsoku w:val="0"/>
        <w:overflowPunct w:val="0"/>
        <w:spacing w:before="97" w:line="328" w:lineRule="auto"/>
        <w:ind w:right="259" w:firstLine="680"/>
        <w:jc w:val="both"/>
        <w:rPr>
          <w:rFonts w:hint="eastAsia"/>
          <w:color w:val="231F20"/>
          <w:sz w:val="32"/>
          <w:szCs w:val="24"/>
        </w:rPr>
      </w:pPr>
      <w:r>
        <w:rPr>
          <w:rFonts w:hint="eastAsia"/>
          <w:color w:val="231F20"/>
          <w:sz w:val="32"/>
          <w:szCs w:val="24"/>
        </w:rPr>
        <w:t>各园区、各部门要加强政策联动，围绕规划落实，加快制定相应实施细则。经发部门要加强对卫生改革和规划相关政策保障的协调落实，依据规划对新改扩建项目进行审批、核准或备案；财政部门要按照财政补助政策提供相应经费，发挥财政资金的主导和激励作用；卫生健康行政部门要按照规划的总体要求，对区域内医疗卫生资源要素的规划、评审、调整、监督和评价依法进行管理；国土和规划部门要按照本规划确定的卫生资源配置标准和要求，在新建或改造城市功能区、大型居住区时，保障医疗卫生服务用地；医疗保障部门要进一步完善医保政策；组织人事部门要根据卫生机构定编标准，合理核定医疗卫生机构人员编制。充分发挥红十字会等行业学协会在应急救助、关注贫困家庭、计划生育困难家庭健康保障方面的积极作用，鼓励群团组织在卫生健康事业发展中勇于担当、积极作为。</w:t>
      </w:r>
    </w:p>
    <w:p>
      <w:pPr>
        <w:pStyle w:val="3"/>
        <w:kinsoku w:val="0"/>
        <w:overflowPunct w:val="0"/>
        <w:spacing w:line="439" w:lineRule="exact"/>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四、实施监测评估</w:t>
      </w:r>
    </w:p>
    <w:p>
      <w:pPr>
        <w:pStyle w:val="3"/>
        <w:kinsoku w:val="0"/>
        <w:overflowPunct w:val="0"/>
        <w:spacing w:before="96" w:line="328" w:lineRule="auto"/>
        <w:ind w:right="115" w:firstLine="680"/>
        <w:rPr>
          <w:rFonts w:hint="eastAsia"/>
          <w:color w:val="231F20"/>
          <w:sz w:val="32"/>
          <w:szCs w:val="24"/>
        </w:rPr>
      </w:pPr>
      <w:r>
        <w:rPr>
          <w:rFonts w:hint="eastAsia"/>
          <w:color w:val="231F20"/>
          <w:sz w:val="32"/>
          <w:szCs w:val="24"/>
        </w:rPr>
        <w:t>建立规划、监督和评价机制，成立评价工作小组，分阶段</w:t>
      </w:r>
      <w:r>
        <w:rPr>
          <w:rFonts w:hint="eastAsia"/>
          <w:color w:val="231F20"/>
          <w:spacing w:val="2"/>
          <w:sz w:val="32"/>
          <w:szCs w:val="24"/>
        </w:rPr>
        <w:t>组织开展规划实施进度和效果评价，及时发现并解决实施过程</w:t>
      </w:r>
      <w:r>
        <w:rPr>
          <w:rFonts w:hint="eastAsia"/>
          <w:color w:val="231F20"/>
          <w:sz w:val="32"/>
          <w:szCs w:val="24"/>
        </w:rPr>
        <w:t>中遇到的困难和问题。运用法律、经济和行政手段规范管理和</w:t>
      </w:r>
      <w:r>
        <w:rPr>
          <w:rFonts w:hint="eastAsia"/>
          <w:color w:val="231F20"/>
          <w:spacing w:val="-8"/>
          <w:sz w:val="32"/>
          <w:szCs w:val="24"/>
        </w:rPr>
        <w:t xml:space="preserve">保障规划的有效实施。各有关部门和单位要严格按照各自职责， </w:t>
      </w:r>
      <w:r>
        <w:rPr>
          <w:rFonts w:hint="eastAsia"/>
          <w:color w:val="231F20"/>
          <w:spacing w:val="2"/>
          <w:sz w:val="32"/>
          <w:szCs w:val="24"/>
        </w:rPr>
        <w:t>建立工作责任制，认真贯彻实施卫生健康事业发展规划中提出</w:t>
      </w:r>
      <w:r>
        <w:rPr>
          <w:rFonts w:hint="eastAsia"/>
          <w:color w:val="231F20"/>
          <w:sz w:val="32"/>
          <w:szCs w:val="24"/>
        </w:rPr>
        <w:t>的工作目标和任务，并将规划实施列入本系统、本单位目标责任考核体系。规划期满后，对规划实施情况进行全面评估。</w:t>
      </w:r>
    </w:p>
    <w:p>
      <w:pPr>
        <w:pStyle w:val="3"/>
        <w:kinsoku w:val="0"/>
        <w:overflowPunct w:val="0"/>
        <w:spacing w:before="96" w:line="328" w:lineRule="auto"/>
        <w:ind w:right="115" w:firstLine="680"/>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1"/>
        <w:ind w:left="0"/>
        <w:rPr>
          <w:rFonts w:hint="eastAsia"/>
          <w:sz w:val="18"/>
          <w:szCs w:val="24"/>
        </w:rPr>
      </w:pPr>
    </w:p>
    <w:p>
      <w:pPr>
        <w:pStyle w:val="3"/>
        <w:kinsoku w:val="0"/>
        <w:overflowPunct w:val="0"/>
        <w:spacing w:before="28"/>
        <w:ind w:left="957"/>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五、加强党的建设</w:t>
      </w:r>
    </w:p>
    <w:p>
      <w:pPr>
        <w:pStyle w:val="3"/>
        <w:kinsoku w:val="0"/>
        <w:overflowPunct w:val="0"/>
        <w:spacing w:before="96" w:line="328" w:lineRule="auto"/>
        <w:ind w:right="115" w:firstLine="680"/>
        <w:rPr>
          <w:rFonts w:hint="eastAsia"/>
          <w:color w:val="231F20"/>
          <w:sz w:val="32"/>
          <w:szCs w:val="24"/>
        </w:rPr>
      </w:pPr>
      <w:r>
        <w:rPr>
          <w:rFonts w:hint="eastAsia"/>
          <w:color w:val="231F20"/>
          <w:sz w:val="32"/>
          <w:szCs w:val="24"/>
        </w:rPr>
        <w:t>全面加强党的建设，持续推进思想建设、组织建设、作风</w:t>
      </w:r>
      <w:r>
        <w:rPr>
          <w:rFonts w:hint="eastAsia"/>
          <w:color w:val="231F20"/>
          <w:spacing w:val="-11"/>
          <w:sz w:val="32"/>
          <w:szCs w:val="24"/>
        </w:rPr>
        <w:t xml:space="preserve">建设、制度建设、党风廉政建设，不断提升卫生队伍整体素质， </w:t>
      </w:r>
      <w:r>
        <w:rPr>
          <w:rFonts w:hint="eastAsia"/>
          <w:color w:val="231F20"/>
          <w:sz w:val="32"/>
          <w:szCs w:val="24"/>
        </w:rPr>
        <w:t>推动卫生健康事业高质量发展，持续贯彻教育、制度、监督并</w:t>
      </w:r>
      <w:r>
        <w:rPr>
          <w:rFonts w:hint="eastAsia"/>
          <w:color w:val="231F20"/>
          <w:spacing w:val="-8"/>
          <w:sz w:val="32"/>
          <w:szCs w:val="24"/>
        </w:rPr>
        <w:t>重和标本兼治、纠建并举的工作方针，紧密结合文明创建活动、</w:t>
      </w:r>
      <w:r>
        <w:rPr>
          <w:rFonts w:hint="eastAsia"/>
          <w:color w:val="231F20"/>
          <w:sz w:val="32"/>
          <w:szCs w:val="24"/>
        </w:rPr>
        <w:t>医药卫生体制改革，探索治医之策。强化职业道德教育，加强</w:t>
      </w:r>
      <w:r>
        <w:rPr>
          <w:rFonts w:hint="eastAsia"/>
          <w:color w:val="231F20"/>
          <w:spacing w:val="-5"/>
          <w:sz w:val="32"/>
          <w:szCs w:val="24"/>
        </w:rPr>
        <w:t xml:space="preserve">社会群众与出院病人对医德医风的考评。树立典型，表彰先进， </w:t>
      </w:r>
      <w:r>
        <w:rPr>
          <w:rFonts w:hint="eastAsia"/>
          <w:color w:val="231F20"/>
          <w:sz w:val="32"/>
          <w:szCs w:val="24"/>
        </w:rPr>
        <w:t>大力弘扬“救死扶伤、忠于职守、爱岗敬业、开拓进取、精益求精、文明行医”的行业风尚。加大卫生宣传力度，正确引导</w:t>
      </w:r>
      <w:r>
        <w:rPr>
          <w:rFonts w:hint="eastAsia"/>
          <w:color w:val="231F20"/>
          <w:spacing w:val="1"/>
          <w:sz w:val="32"/>
          <w:szCs w:val="24"/>
        </w:rPr>
        <w:t>社会舆论，努力构建和谐的医患关系，切实增强人民群众健康</w:t>
      </w:r>
      <w:r>
        <w:rPr>
          <w:rFonts w:hint="eastAsia"/>
          <w:color w:val="231F20"/>
          <w:sz w:val="32"/>
          <w:szCs w:val="24"/>
        </w:rPr>
        <w:t>获得感、幸福感，奋力开创健康新区新局面。</w:t>
      </w:r>
    </w:p>
    <w:p>
      <w:pPr>
        <w:pStyle w:val="3"/>
        <w:kinsoku w:val="0"/>
        <w:overflowPunct w:val="0"/>
        <w:spacing w:before="96" w:line="328" w:lineRule="auto"/>
        <w:ind w:right="115" w:firstLine="680"/>
        <w:rPr>
          <w:rFonts w:hint="eastAsia"/>
          <w:color w:val="231F20"/>
          <w:sz w:val="32"/>
          <w:szCs w:val="24"/>
        </w:rPr>
        <w:sectPr>
          <w:pgSz w:w="12250" w:h="17180"/>
          <w:pgMar w:top="1620" w:right="1480" w:bottom="1640" w:left="1480" w:header="0" w:footer="1444" w:gutter="0"/>
          <w:lnNumType w:countBy="0" w:distance="360"/>
          <w:cols w:space="720" w:num="1"/>
        </w:sectPr>
      </w:pPr>
    </w:p>
    <w:p>
      <w:pPr>
        <w:pStyle w:val="3"/>
        <w:kinsoku w:val="0"/>
        <w:overflowPunct w:val="0"/>
        <w:spacing w:before="1"/>
        <w:ind w:left="0"/>
        <w:rPr>
          <w:rFonts w:hint="eastAsia"/>
          <w:sz w:val="18"/>
          <w:szCs w:val="24"/>
        </w:rPr>
      </w:pPr>
    </w:p>
    <w:p>
      <w:pPr>
        <w:pStyle w:val="3"/>
        <w:kinsoku w:val="0"/>
        <w:overflowPunct w:val="0"/>
        <w:spacing w:before="28"/>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附件 1-1</w:t>
      </w:r>
    </w:p>
    <w:p>
      <w:pPr>
        <w:pStyle w:val="3"/>
        <w:kinsoku w:val="0"/>
        <w:overflowPunct w:val="0"/>
        <w:spacing w:before="15"/>
        <w:ind w:left="0"/>
        <w:rPr>
          <w:rFonts w:hint="default" w:ascii="方正黑体简体" w:hAnsi="方正黑体简体" w:eastAsia="方正黑体简体"/>
          <w:sz w:val="30"/>
          <w:szCs w:val="24"/>
        </w:rPr>
      </w:pPr>
    </w:p>
    <w:p>
      <w:pPr>
        <w:pStyle w:val="2"/>
        <w:kinsoku w:val="0"/>
        <w:overflowPunct w:val="0"/>
        <w:ind w:left="419"/>
        <w:jc w:val="left"/>
        <w:rPr>
          <w:rFonts w:hint="eastAsia"/>
          <w:color w:val="231F20"/>
          <w:w w:val="80"/>
          <w:sz w:val="40"/>
          <w:szCs w:val="24"/>
        </w:rPr>
      </w:pPr>
      <w:r>
        <w:rPr>
          <w:rFonts w:hint="eastAsia"/>
          <w:color w:val="231F20"/>
          <w:w w:val="80"/>
          <w:sz w:val="40"/>
          <w:szCs w:val="24"/>
        </w:rPr>
        <w:t>兰州新区“十四五”卫生健康事业发展规划省级重点项目表</w:t>
      </w:r>
    </w:p>
    <w:p>
      <w:pPr>
        <w:pStyle w:val="3"/>
        <w:kinsoku w:val="0"/>
        <w:overflowPunct w:val="0"/>
        <w:spacing w:before="15"/>
        <w:ind w:left="0"/>
        <w:rPr>
          <w:rFonts w:hint="eastAsia" w:ascii="方正小标宋简体" w:hAnsi="方正小标宋简体" w:eastAsia="方正小标宋简体"/>
          <w:sz w:val="4"/>
          <w:szCs w:val="24"/>
        </w:rPr>
      </w:pPr>
    </w:p>
    <w:tbl>
      <w:tblPr>
        <w:tblStyle w:val="4"/>
        <w:tblW w:w="1004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
        <w:gridCol w:w="814"/>
        <w:gridCol w:w="1831"/>
        <w:gridCol w:w="1065"/>
        <w:gridCol w:w="970"/>
        <w:gridCol w:w="1002"/>
        <w:gridCol w:w="1001"/>
        <w:gridCol w:w="1284"/>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5" w:hRule="atLeast"/>
        </w:trPr>
        <w:tc>
          <w:tcPr>
            <w:tcW w:w="892"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49" w:right="31"/>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序号</w:t>
            </w:r>
          </w:p>
        </w:tc>
        <w:tc>
          <w:tcPr>
            <w:tcW w:w="814"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性质</w:t>
            </w:r>
          </w:p>
        </w:tc>
        <w:tc>
          <w:tcPr>
            <w:tcW w:w="1831"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529"/>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项目名称</w:t>
            </w:r>
          </w:p>
        </w:tc>
        <w:tc>
          <w:tcPr>
            <w:tcW w:w="1065"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等级</w:t>
            </w:r>
          </w:p>
        </w:tc>
        <w:tc>
          <w:tcPr>
            <w:tcW w:w="97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76"/>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园区</w:t>
            </w:r>
          </w:p>
        </w:tc>
        <w:tc>
          <w:tcPr>
            <w:tcW w:w="1002"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67" w:right="45"/>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床位数</w:t>
            </w:r>
          </w:p>
        </w:tc>
        <w:tc>
          <w:tcPr>
            <w:tcW w:w="1001"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245"/>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位置</w:t>
            </w:r>
          </w:p>
        </w:tc>
        <w:tc>
          <w:tcPr>
            <w:tcW w:w="1284"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5"/>
                <w:szCs w:val="24"/>
              </w:rPr>
            </w:pPr>
          </w:p>
          <w:p>
            <w:pPr>
              <w:pStyle w:val="6"/>
              <w:kinsoku w:val="0"/>
              <w:overflowPunct w:val="0"/>
              <w:ind w:left="23" w:right="5"/>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实施年限</w:t>
            </w:r>
          </w:p>
        </w:tc>
        <w:tc>
          <w:tcPr>
            <w:tcW w:w="1189"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99" w:line="182" w:lineRule="auto"/>
              <w:ind w:left="55" w:right="30" w:firstLine="69"/>
              <w:rPr>
                <w:rFonts w:hint="default" w:ascii="方正黑体简体" w:hAnsi="方正黑体简体" w:eastAsia="方正黑体简体"/>
                <w:color w:val="231F20"/>
                <w:spacing w:val="-16"/>
                <w:sz w:val="24"/>
                <w:szCs w:val="24"/>
              </w:rPr>
            </w:pPr>
            <w:r>
              <w:rPr>
                <w:rFonts w:hint="default" w:ascii="方正黑体简体" w:hAnsi="方正黑体简体" w:eastAsia="方正黑体简体"/>
                <w:color w:val="231F20"/>
                <w:sz w:val="24"/>
                <w:szCs w:val="24"/>
              </w:rPr>
              <w:t>总投资</w:t>
            </w:r>
            <w:r>
              <w:rPr>
                <w:rFonts w:hint="default" w:ascii="方正黑体简体" w:hAnsi="方正黑体简体" w:eastAsia="方正黑体简体"/>
                <w:color w:val="231F20"/>
                <w:sz w:val="24"/>
                <w:szCs w:val="24"/>
                <w:lang w:val="en-US" w:eastAsia="zh-CN"/>
              </w:rPr>
              <w:t xml:space="preserve"> </w:t>
            </w:r>
            <w:r>
              <w:rPr>
                <w:rFonts w:hint="default" w:ascii="方正黑体简体" w:hAnsi="方正黑体简体" w:eastAsia="方正黑体简体"/>
                <w:color w:val="231F20"/>
                <w:spacing w:val="-3"/>
                <w:sz w:val="24"/>
                <w:szCs w:val="24"/>
              </w:rPr>
              <w:t>( 亿元</w:t>
            </w:r>
            <w:r>
              <w:rPr>
                <w:rFonts w:hint="default" w:ascii="方正黑体简体" w:hAnsi="方正黑体简体" w:eastAsia="方正黑体简体"/>
                <w:color w:val="231F20"/>
                <w:spacing w:val="-16"/>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17" w:hRule="atLeast"/>
        </w:trPr>
        <w:tc>
          <w:tcPr>
            <w:tcW w:w="8859" w:type="dxa"/>
            <w:gridSpan w:val="8"/>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5"/>
              <w:rPr>
                <w:rFonts w:hint="eastAsia" w:ascii="方正小标宋简体" w:hAnsi="方正小标宋简体" w:eastAsia="方正小标宋简体"/>
                <w:sz w:val="32"/>
                <w:szCs w:val="24"/>
              </w:rPr>
            </w:pPr>
          </w:p>
          <w:p>
            <w:pPr>
              <w:pStyle w:val="6"/>
              <w:kinsoku w:val="0"/>
              <w:overflowPunct w:val="0"/>
              <w:spacing w:line="298" w:lineRule="exact"/>
              <w:ind w:left="196" w:right="183"/>
              <w:jc w:val="center"/>
              <w:rPr>
                <w:rFonts w:hint="eastAsia"/>
                <w:color w:val="231F20"/>
                <w:sz w:val="24"/>
                <w:szCs w:val="24"/>
              </w:rPr>
            </w:pPr>
            <w:r>
              <w:rPr>
                <w:rFonts w:hint="eastAsia"/>
                <w:color w:val="231F20"/>
                <w:sz w:val="24"/>
                <w:szCs w:val="24"/>
              </w:rPr>
              <w:t>合计 5 项，预计新增公立医疗机构床位 2300-3800 张。</w:t>
            </w:r>
          </w:p>
          <w:p>
            <w:pPr>
              <w:pStyle w:val="6"/>
              <w:kinsoku w:val="0"/>
              <w:overflowPunct w:val="0"/>
              <w:spacing w:line="298" w:lineRule="exact"/>
              <w:ind w:left="196" w:right="183"/>
              <w:jc w:val="center"/>
              <w:rPr>
                <w:rFonts w:hint="eastAsia"/>
                <w:color w:val="231F20"/>
                <w:sz w:val="24"/>
                <w:szCs w:val="24"/>
              </w:rPr>
            </w:pPr>
            <w:r>
              <w:rPr>
                <w:rFonts w:hint="eastAsia"/>
                <w:color w:val="231F20"/>
                <w:sz w:val="24"/>
                <w:szCs w:val="24"/>
              </w:rPr>
              <w:t>（按项目实施开始年度排序）</w:t>
            </w:r>
          </w:p>
        </w:tc>
        <w:tc>
          <w:tcPr>
            <w:tcW w:w="11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right="160"/>
              <w:jc w:val="right"/>
              <w:rPr>
                <w:rFonts w:hint="eastAsia"/>
                <w:color w:val="231F20"/>
                <w:sz w:val="24"/>
                <w:szCs w:val="24"/>
              </w:rPr>
            </w:pPr>
            <w:r>
              <w:rPr>
                <w:rFonts w:hint="eastAsia"/>
                <w:color w:val="231F20"/>
                <w:sz w:val="24"/>
                <w:szCs w:val="24"/>
              </w:rPr>
              <w:t>27.51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39" w:hRule="atLeast"/>
        </w:trPr>
        <w:tc>
          <w:tcPr>
            <w:tcW w:w="89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1</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续建</w:t>
            </w:r>
          </w:p>
        </w:tc>
        <w:tc>
          <w:tcPr>
            <w:tcW w:w="183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409" w:right="22" w:hanging="360"/>
              <w:rPr>
                <w:rFonts w:hint="eastAsia"/>
                <w:color w:val="231F20"/>
                <w:sz w:val="24"/>
                <w:szCs w:val="24"/>
              </w:rPr>
            </w:pPr>
            <w:r>
              <w:rPr>
                <w:rFonts w:hint="eastAsia"/>
                <w:color w:val="231F20"/>
                <w:sz w:val="24"/>
                <w:szCs w:val="24"/>
              </w:rPr>
              <w:t>省人民医院新区分院建设项目</w:t>
            </w:r>
          </w:p>
        </w:tc>
        <w:tc>
          <w:tcPr>
            <w:tcW w:w="106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三级</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800-1000</w:t>
            </w:r>
          </w:p>
        </w:tc>
        <w:tc>
          <w:tcPr>
            <w:tcW w:w="1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spacing w:line="225" w:lineRule="auto"/>
              <w:ind w:left="65" w:right="-87" w:firstLine="60"/>
              <w:rPr>
                <w:rFonts w:hint="eastAsia"/>
                <w:color w:val="231F20"/>
                <w:sz w:val="24"/>
                <w:szCs w:val="24"/>
              </w:rPr>
            </w:pPr>
            <w:r>
              <w:rPr>
                <w:rFonts w:hint="eastAsia"/>
                <w:color w:val="231F20"/>
                <w:sz w:val="24"/>
                <w:szCs w:val="24"/>
              </w:rPr>
              <w:t>纬五支路北侧、经 十 三 路西侧</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23" w:right="5"/>
              <w:jc w:val="center"/>
              <w:rPr>
                <w:rFonts w:hint="eastAsia"/>
                <w:color w:val="231F20"/>
                <w:sz w:val="24"/>
                <w:szCs w:val="24"/>
              </w:rPr>
            </w:pPr>
            <w:r>
              <w:rPr>
                <w:rFonts w:hint="eastAsia"/>
                <w:color w:val="231F20"/>
                <w:sz w:val="24"/>
                <w:szCs w:val="24"/>
              </w:rPr>
              <w:t>2021</w:t>
            </w:r>
          </w:p>
        </w:tc>
        <w:tc>
          <w:tcPr>
            <w:tcW w:w="11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22"/>
              <w:jc w:val="center"/>
              <w:rPr>
                <w:rFonts w:hint="eastAsia"/>
                <w:color w:val="231F20"/>
                <w:sz w:val="24"/>
                <w:szCs w:val="24"/>
              </w:rPr>
            </w:pPr>
            <w:r>
              <w:rPr>
                <w:rFonts w:hint="eastAsia"/>
                <w:color w:val="231F2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39" w:hRule="atLeast"/>
        </w:trPr>
        <w:tc>
          <w:tcPr>
            <w:tcW w:w="89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2</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续建</w:t>
            </w:r>
          </w:p>
        </w:tc>
        <w:tc>
          <w:tcPr>
            <w:tcW w:w="183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409" w:right="22" w:hanging="360"/>
              <w:rPr>
                <w:rFonts w:hint="eastAsia"/>
                <w:color w:val="231F20"/>
                <w:sz w:val="24"/>
                <w:szCs w:val="24"/>
              </w:rPr>
            </w:pPr>
            <w:r>
              <w:rPr>
                <w:rFonts w:hint="eastAsia"/>
                <w:color w:val="231F20"/>
                <w:sz w:val="24"/>
                <w:szCs w:val="24"/>
              </w:rPr>
              <w:t>省残联康复中心医院建设项目</w:t>
            </w:r>
          </w:p>
        </w:tc>
        <w:tc>
          <w:tcPr>
            <w:tcW w:w="106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三级</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650-1000</w:t>
            </w:r>
          </w:p>
        </w:tc>
        <w:tc>
          <w:tcPr>
            <w:tcW w:w="1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spacing w:line="225" w:lineRule="auto"/>
              <w:ind w:left="125" w:right="102"/>
              <w:jc w:val="both"/>
              <w:rPr>
                <w:rFonts w:hint="eastAsia"/>
                <w:color w:val="231F20"/>
                <w:sz w:val="24"/>
                <w:szCs w:val="24"/>
              </w:rPr>
            </w:pPr>
            <w:r>
              <w:rPr>
                <w:rFonts w:hint="eastAsia"/>
                <w:color w:val="231F20"/>
                <w:sz w:val="24"/>
                <w:szCs w:val="24"/>
              </w:rPr>
              <w:t>纬四路北侧、经十一路西侧</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23" w:right="5"/>
              <w:jc w:val="center"/>
              <w:rPr>
                <w:rFonts w:hint="eastAsia"/>
                <w:color w:val="231F20"/>
                <w:sz w:val="24"/>
                <w:szCs w:val="24"/>
              </w:rPr>
            </w:pPr>
            <w:r>
              <w:rPr>
                <w:rFonts w:hint="eastAsia"/>
                <w:color w:val="231F20"/>
                <w:sz w:val="24"/>
                <w:szCs w:val="24"/>
              </w:rPr>
              <w:t>2022</w:t>
            </w:r>
          </w:p>
        </w:tc>
        <w:tc>
          <w:tcPr>
            <w:tcW w:w="11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right="220"/>
              <w:jc w:val="right"/>
              <w:rPr>
                <w:rFonts w:hint="eastAsia"/>
                <w:color w:val="231F20"/>
                <w:sz w:val="24"/>
                <w:szCs w:val="24"/>
              </w:rPr>
            </w:pPr>
            <w:r>
              <w:rPr>
                <w:rFonts w:hint="eastAsia"/>
                <w:color w:val="231F20"/>
                <w:sz w:val="24"/>
                <w:szCs w:val="24"/>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39" w:hRule="atLeast"/>
        </w:trPr>
        <w:tc>
          <w:tcPr>
            <w:tcW w:w="89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3</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3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7"/>
              <w:rPr>
                <w:rFonts w:hint="eastAsia" w:ascii="方正小标宋简体" w:hAnsi="方正小标宋简体" w:eastAsia="方正小标宋简体"/>
                <w:sz w:val="24"/>
                <w:szCs w:val="24"/>
              </w:rPr>
            </w:pPr>
          </w:p>
          <w:p>
            <w:pPr>
              <w:pStyle w:val="6"/>
              <w:kinsoku w:val="0"/>
              <w:overflowPunct w:val="0"/>
              <w:spacing w:line="225" w:lineRule="auto"/>
              <w:ind w:left="49" w:right="22"/>
              <w:jc w:val="center"/>
              <w:rPr>
                <w:rFonts w:hint="eastAsia"/>
                <w:color w:val="231F20"/>
                <w:sz w:val="24"/>
                <w:szCs w:val="24"/>
              </w:rPr>
            </w:pPr>
            <w:r>
              <w:rPr>
                <w:rFonts w:hint="eastAsia"/>
                <w:color w:val="231F20"/>
                <w:sz w:val="24"/>
                <w:szCs w:val="24"/>
              </w:rPr>
              <w:t>省人民医院新区分院重大疫情救治基地建设项目</w:t>
            </w:r>
          </w:p>
        </w:tc>
        <w:tc>
          <w:tcPr>
            <w:tcW w:w="106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24"/>
              <w:jc w:val="center"/>
              <w:rPr>
                <w:rFonts w:hint="eastAsia"/>
                <w:color w:val="231F20"/>
                <w:sz w:val="24"/>
                <w:szCs w:val="24"/>
              </w:rPr>
            </w:pPr>
            <w:r>
              <w:rPr>
                <w:rFonts w:hint="eastAsia"/>
                <w:color w:val="231F20"/>
                <w:sz w:val="24"/>
                <w:szCs w:val="24"/>
              </w:rPr>
              <w:t>/</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60</w:t>
            </w:r>
          </w:p>
        </w:tc>
        <w:tc>
          <w:tcPr>
            <w:tcW w:w="1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spacing w:line="225" w:lineRule="auto"/>
              <w:ind w:left="65" w:right="-87" w:firstLine="60"/>
              <w:rPr>
                <w:rFonts w:hint="eastAsia"/>
                <w:color w:val="231F20"/>
                <w:sz w:val="24"/>
                <w:szCs w:val="24"/>
              </w:rPr>
            </w:pPr>
            <w:r>
              <w:rPr>
                <w:rFonts w:hint="eastAsia"/>
                <w:color w:val="231F20"/>
                <w:sz w:val="24"/>
                <w:szCs w:val="24"/>
              </w:rPr>
              <w:t>纬五支路北侧、经 十 三 路西侧</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5"/>
              <w:rPr>
                <w:rFonts w:hint="eastAsia" w:ascii="方正小标宋简体" w:hAnsi="方正小标宋简体" w:eastAsia="方正小标宋简体"/>
                <w:sz w:val="3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2022</w:t>
            </w:r>
          </w:p>
        </w:tc>
        <w:tc>
          <w:tcPr>
            <w:tcW w:w="11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305"/>
              <w:rPr>
                <w:rFonts w:hint="eastAsia"/>
                <w:color w:val="231F20"/>
                <w:sz w:val="24"/>
                <w:szCs w:val="24"/>
              </w:rPr>
            </w:pPr>
            <w:r>
              <w:rPr>
                <w:rFonts w:hint="eastAsia"/>
                <w:color w:val="231F20"/>
                <w:sz w:val="24"/>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39" w:hRule="atLeast"/>
        </w:trPr>
        <w:tc>
          <w:tcPr>
            <w:tcW w:w="89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4</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3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7"/>
              <w:rPr>
                <w:rFonts w:hint="eastAsia" w:ascii="方正小标宋简体" w:hAnsi="方正小标宋简体" w:eastAsia="方正小标宋简体"/>
                <w:sz w:val="24"/>
                <w:szCs w:val="24"/>
              </w:rPr>
            </w:pPr>
          </w:p>
          <w:p>
            <w:pPr>
              <w:pStyle w:val="6"/>
              <w:kinsoku w:val="0"/>
              <w:overflowPunct w:val="0"/>
              <w:spacing w:line="225" w:lineRule="auto"/>
              <w:ind w:left="49" w:right="22"/>
              <w:jc w:val="center"/>
              <w:rPr>
                <w:rFonts w:hint="eastAsia"/>
                <w:color w:val="231F20"/>
                <w:sz w:val="24"/>
                <w:szCs w:val="24"/>
              </w:rPr>
            </w:pPr>
            <w:r>
              <w:rPr>
                <w:rFonts w:hint="eastAsia"/>
                <w:color w:val="231F20"/>
                <w:sz w:val="24"/>
                <w:szCs w:val="24"/>
              </w:rPr>
              <w:t>省人民医院新区分院老年康复养护区项目</w:t>
            </w:r>
          </w:p>
        </w:tc>
        <w:tc>
          <w:tcPr>
            <w:tcW w:w="106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24"/>
              <w:jc w:val="center"/>
              <w:rPr>
                <w:rFonts w:hint="eastAsia"/>
                <w:color w:val="231F20"/>
                <w:sz w:val="24"/>
                <w:szCs w:val="24"/>
              </w:rPr>
            </w:pPr>
            <w:r>
              <w:rPr>
                <w:rFonts w:hint="eastAsia"/>
                <w:color w:val="231F20"/>
                <w:sz w:val="24"/>
                <w:szCs w:val="24"/>
              </w:rPr>
              <w:t>/</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00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800-1800</w:t>
            </w:r>
          </w:p>
        </w:tc>
        <w:tc>
          <w:tcPr>
            <w:tcW w:w="100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spacing w:line="225" w:lineRule="auto"/>
              <w:ind w:left="125" w:right="102"/>
              <w:jc w:val="both"/>
              <w:rPr>
                <w:rFonts w:hint="eastAsia"/>
                <w:color w:val="231F20"/>
                <w:sz w:val="24"/>
                <w:szCs w:val="24"/>
              </w:rPr>
            </w:pPr>
            <w:r>
              <w:rPr>
                <w:rFonts w:hint="eastAsia"/>
                <w:color w:val="231F20"/>
                <w:sz w:val="24"/>
                <w:szCs w:val="24"/>
              </w:rPr>
              <w:t>纬三路南侧、经十三路西侧</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5"/>
              <w:rPr>
                <w:rFonts w:hint="eastAsia" w:ascii="方正小标宋简体" w:hAnsi="方正小标宋简体" w:eastAsia="方正小标宋简体"/>
                <w:sz w:val="3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189"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right="160"/>
              <w:jc w:val="right"/>
              <w:rPr>
                <w:rFonts w:hint="eastAsia"/>
                <w:color w:val="231F20"/>
                <w:sz w:val="24"/>
                <w:szCs w:val="24"/>
              </w:rPr>
            </w:pPr>
            <w:r>
              <w:rPr>
                <w:rFonts w:hint="eastAsia"/>
                <w:color w:val="231F20"/>
                <w:sz w:val="24"/>
                <w:szCs w:val="24"/>
              </w:rPr>
              <w:t>12.68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31" w:hRule="atLeast"/>
        </w:trPr>
        <w:tc>
          <w:tcPr>
            <w:tcW w:w="892"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5</w:t>
            </w:r>
          </w:p>
        </w:tc>
        <w:tc>
          <w:tcPr>
            <w:tcW w:w="81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3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169" w:right="22" w:hanging="120"/>
              <w:rPr>
                <w:rFonts w:hint="eastAsia"/>
                <w:color w:val="231F20"/>
                <w:sz w:val="24"/>
                <w:szCs w:val="24"/>
              </w:rPr>
            </w:pPr>
            <w:r>
              <w:rPr>
                <w:rFonts w:hint="eastAsia"/>
                <w:color w:val="231F20"/>
                <w:sz w:val="24"/>
                <w:szCs w:val="24"/>
              </w:rPr>
              <w:t>省疾控中心公共卫生中心建设项目</w:t>
            </w:r>
          </w:p>
        </w:tc>
        <w:tc>
          <w:tcPr>
            <w:tcW w:w="1065"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24"/>
              <w:jc w:val="center"/>
              <w:rPr>
                <w:rFonts w:hint="eastAsia"/>
                <w:color w:val="231F20"/>
                <w:sz w:val="24"/>
                <w:szCs w:val="24"/>
              </w:rPr>
            </w:pPr>
            <w:r>
              <w:rPr>
                <w:rFonts w:hint="eastAsia"/>
                <w:color w:val="231F20"/>
                <w:sz w:val="24"/>
                <w:szCs w:val="24"/>
              </w:rPr>
              <w:t>/</w:t>
            </w:r>
          </w:p>
        </w:tc>
        <w:tc>
          <w:tcPr>
            <w:tcW w:w="97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西岔园区</w:t>
            </w:r>
          </w:p>
        </w:tc>
        <w:tc>
          <w:tcPr>
            <w:tcW w:w="1002"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00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16"/>
                <w:szCs w:val="24"/>
              </w:rPr>
            </w:pPr>
          </w:p>
          <w:p>
            <w:pPr>
              <w:pStyle w:val="6"/>
              <w:kinsoku w:val="0"/>
              <w:overflowPunct w:val="0"/>
              <w:spacing w:line="298" w:lineRule="exact"/>
              <w:ind w:left="185"/>
              <w:rPr>
                <w:rFonts w:hint="eastAsia"/>
                <w:color w:val="231F20"/>
                <w:sz w:val="24"/>
                <w:szCs w:val="24"/>
              </w:rPr>
            </w:pPr>
            <w:r>
              <w:rPr>
                <w:rFonts w:hint="eastAsia"/>
                <w:color w:val="231F20"/>
                <w:sz w:val="24"/>
                <w:szCs w:val="24"/>
              </w:rPr>
              <w:t>NCE6#</w:t>
            </w:r>
          </w:p>
          <w:p>
            <w:pPr>
              <w:pStyle w:val="6"/>
              <w:kinsoku w:val="0"/>
              <w:overflowPunct w:val="0"/>
              <w:spacing w:before="5" w:line="225" w:lineRule="auto"/>
              <w:ind w:left="185" w:right="-87" w:hanging="120"/>
              <w:rPr>
                <w:rFonts w:hint="eastAsia"/>
                <w:color w:val="231F20"/>
                <w:sz w:val="24"/>
                <w:szCs w:val="24"/>
              </w:rPr>
            </w:pPr>
            <w:r>
              <w:rPr>
                <w:rFonts w:hint="eastAsia"/>
                <w:color w:val="231F20"/>
                <w:sz w:val="24"/>
                <w:szCs w:val="24"/>
              </w:rPr>
              <w:t>路南侧、NCE3#</w:t>
            </w:r>
          </w:p>
          <w:p>
            <w:pPr>
              <w:pStyle w:val="6"/>
              <w:kinsoku w:val="0"/>
              <w:overflowPunct w:val="0"/>
              <w:spacing w:line="291" w:lineRule="exact"/>
              <w:ind w:left="125"/>
              <w:rPr>
                <w:rFonts w:hint="eastAsia"/>
                <w:color w:val="231F20"/>
                <w:sz w:val="24"/>
                <w:szCs w:val="24"/>
              </w:rPr>
            </w:pPr>
            <w:r>
              <w:rPr>
                <w:rFonts w:hint="eastAsia"/>
                <w:color w:val="231F20"/>
                <w:sz w:val="24"/>
                <w:szCs w:val="24"/>
              </w:rPr>
              <w:t>路西侧</w:t>
            </w:r>
          </w:p>
        </w:tc>
        <w:tc>
          <w:tcPr>
            <w:tcW w:w="128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5"/>
              <w:rPr>
                <w:rFonts w:hint="eastAsia" w:ascii="方正小标宋简体" w:hAnsi="方正小标宋简体" w:eastAsia="方正小标宋简体"/>
                <w:sz w:val="3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189"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8"/>
              <w:rPr>
                <w:rFonts w:hint="eastAsia" w:ascii="方正小标宋简体" w:hAnsi="方正小标宋简体" w:eastAsia="方正小标宋简体"/>
                <w:sz w:val="16"/>
                <w:szCs w:val="24"/>
              </w:rPr>
            </w:pPr>
          </w:p>
          <w:p>
            <w:pPr>
              <w:pStyle w:val="6"/>
              <w:kinsoku w:val="0"/>
              <w:overflowPunct w:val="0"/>
              <w:ind w:right="220"/>
              <w:jc w:val="right"/>
              <w:rPr>
                <w:rFonts w:hint="eastAsia"/>
                <w:color w:val="231F20"/>
                <w:sz w:val="24"/>
                <w:szCs w:val="24"/>
              </w:rPr>
            </w:pPr>
            <w:r>
              <w:rPr>
                <w:rFonts w:hint="eastAsia"/>
                <w:color w:val="231F20"/>
                <w:sz w:val="24"/>
                <w:szCs w:val="24"/>
              </w:rPr>
              <w:t>5.72</w:t>
            </w:r>
          </w:p>
        </w:tc>
      </w:tr>
    </w:tbl>
    <w:p>
      <w:pPr>
        <w:rPr>
          <w:rFonts w:hint="eastAsia" w:ascii="方正小标宋简体" w:hAnsi="方正小标宋简体" w:eastAsia="方正小标宋简体"/>
          <w:sz w:val="4"/>
          <w:szCs w:val="24"/>
        </w:rPr>
        <w:sectPr>
          <w:pgSz w:w="12250" w:h="17180"/>
          <w:pgMar w:top="1620" w:right="1480" w:bottom="1640" w:left="1480" w:header="0" w:footer="1444" w:gutter="0"/>
          <w:lnNumType w:countBy="0" w:distance="360"/>
          <w:cols w:space="720" w:num="1"/>
        </w:sectPr>
      </w:pPr>
    </w:p>
    <w:p>
      <w:pPr>
        <w:pStyle w:val="3"/>
        <w:kinsoku w:val="0"/>
        <w:overflowPunct w:val="0"/>
        <w:spacing w:before="1"/>
        <w:ind w:left="0"/>
        <w:rPr>
          <w:rFonts w:hint="eastAsia" w:ascii="方正小标宋简体" w:hAnsi="方正小标宋简体" w:eastAsia="方正小标宋简体"/>
          <w:sz w:val="13"/>
          <w:szCs w:val="24"/>
        </w:rPr>
      </w:pPr>
    </w:p>
    <w:p>
      <w:pPr>
        <w:pStyle w:val="3"/>
        <w:kinsoku w:val="0"/>
        <w:overflowPunct w:val="0"/>
        <w:spacing w:before="28"/>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附件 1-2</w:t>
      </w:r>
    </w:p>
    <w:p>
      <w:pPr>
        <w:pStyle w:val="3"/>
        <w:kinsoku w:val="0"/>
        <w:overflowPunct w:val="0"/>
        <w:spacing w:before="1"/>
        <w:ind w:left="0"/>
        <w:rPr>
          <w:rFonts w:hint="default" w:ascii="方正黑体简体" w:hAnsi="方正黑体简体" w:eastAsia="方正黑体简体"/>
          <w:sz w:val="36"/>
          <w:szCs w:val="24"/>
        </w:rPr>
      </w:pPr>
    </w:p>
    <w:p>
      <w:pPr>
        <w:pStyle w:val="2"/>
        <w:kinsoku w:val="0"/>
        <w:overflowPunct w:val="0"/>
        <w:spacing w:after="6"/>
        <w:ind w:left="321"/>
        <w:jc w:val="left"/>
        <w:rPr>
          <w:rFonts w:hint="eastAsia"/>
          <w:color w:val="231F20"/>
          <w:w w:val="70"/>
          <w:sz w:val="40"/>
          <w:szCs w:val="24"/>
        </w:rPr>
      </w:pPr>
      <w:r>
        <w:rPr>
          <w:rFonts w:hint="eastAsia"/>
          <w:color w:val="231F20"/>
          <w:w w:val="70"/>
          <w:sz w:val="40"/>
          <w:szCs w:val="24"/>
        </w:rPr>
        <w:t>兰州新区“十四五”卫生健康事业发展规划新区投资重点项目表</w:t>
      </w:r>
    </w:p>
    <w:tbl>
      <w:tblPr>
        <w:tblStyle w:val="4"/>
        <w:tblW w:w="10267" w:type="dxa"/>
        <w:tblInd w:w="-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2"/>
        <w:gridCol w:w="910"/>
        <w:gridCol w:w="2009"/>
        <w:gridCol w:w="947"/>
        <w:gridCol w:w="830"/>
        <w:gridCol w:w="1236"/>
        <w:gridCol w:w="1033"/>
        <w:gridCol w:w="1346"/>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99" w:hRule="atLeast"/>
        </w:trPr>
        <w:tc>
          <w:tcPr>
            <w:tcW w:w="782"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9" w:right="31"/>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序号</w:t>
            </w:r>
          </w:p>
        </w:tc>
        <w:tc>
          <w:tcPr>
            <w:tcW w:w="91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性质</w:t>
            </w:r>
          </w:p>
        </w:tc>
        <w:tc>
          <w:tcPr>
            <w:tcW w:w="2009"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29"/>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项目名称</w:t>
            </w:r>
          </w:p>
        </w:tc>
        <w:tc>
          <w:tcPr>
            <w:tcW w:w="947"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等级</w:t>
            </w:r>
          </w:p>
        </w:tc>
        <w:tc>
          <w:tcPr>
            <w:tcW w:w="83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76"/>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园区</w:t>
            </w:r>
          </w:p>
        </w:tc>
        <w:tc>
          <w:tcPr>
            <w:tcW w:w="1236"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67" w:right="45"/>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床位数</w:t>
            </w:r>
          </w:p>
        </w:tc>
        <w:tc>
          <w:tcPr>
            <w:tcW w:w="1033"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245"/>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位置</w:t>
            </w:r>
          </w:p>
        </w:tc>
        <w:tc>
          <w:tcPr>
            <w:tcW w:w="1346"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3"/>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实施年限</w:t>
            </w:r>
          </w:p>
        </w:tc>
        <w:tc>
          <w:tcPr>
            <w:tcW w:w="1174"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82" w:line="182" w:lineRule="auto"/>
              <w:ind w:left="55" w:right="30" w:firstLine="69"/>
              <w:rPr>
                <w:rFonts w:hint="default" w:ascii="方正黑体简体" w:hAnsi="方正黑体简体" w:eastAsia="方正黑体简体"/>
                <w:color w:val="231F20"/>
                <w:spacing w:val="-16"/>
                <w:sz w:val="24"/>
                <w:szCs w:val="24"/>
              </w:rPr>
            </w:pPr>
            <w:r>
              <w:rPr>
                <w:rFonts w:hint="default" w:ascii="方正黑体简体" w:hAnsi="方正黑体简体" w:eastAsia="方正黑体简体"/>
                <w:color w:val="231F20"/>
                <w:sz w:val="24"/>
                <w:szCs w:val="24"/>
              </w:rPr>
              <w:t>总投资</w:t>
            </w:r>
            <w:r>
              <w:rPr>
                <w:rFonts w:hint="default" w:ascii="方正黑体简体" w:hAnsi="方正黑体简体" w:eastAsia="方正黑体简体"/>
                <w:color w:val="231F20"/>
                <w:sz w:val="24"/>
                <w:szCs w:val="24"/>
                <w:lang w:val="en-US" w:eastAsia="zh-CN"/>
              </w:rPr>
              <w:t xml:space="preserve"> </w:t>
            </w:r>
            <w:r>
              <w:rPr>
                <w:rFonts w:hint="default" w:ascii="方正黑体简体" w:hAnsi="方正黑体简体" w:eastAsia="方正黑体简体"/>
                <w:color w:val="231F20"/>
                <w:spacing w:val="-3"/>
                <w:sz w:val="24"/>
                <w:szCs w:val="24"/>
              </w:rPr>
              <w:t>( 亿元</w:t>
            </w:r>
            <w:r>
              <w:rPr>
                <w:rFonts w:hint="default" w:ascii="方正黑体简体" w:hAnsi="方正黑体简体" w:eastAsia="方正黑体简体"/>
                <w:color w:val="231F20"/>
                <w:spacing w:val="-16"/>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24" w:hRule="atLeast"/>
        </w:trPr>
        <w:tc>
          <w:tcPr>
            <w:tcW w:w="9093" w:type="dxa"/>
            <w:gridSpan w:val="8"/>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7"/>
              <w:rPr>
                <w:rFonts w:hint="eastAsia" w:ascii="方正小标宋简体" w:hAnsi="方正小标宋简体" w:eastAsia="方正小标宋简体"/>
                <w:sz w:val="23"/>
                <w:szCs w:val="24"/>
              </w:rPr>
            </w:pPr>
          </w:p>
          <w:p>
            <w:pPr>
              <w:pStyle w:val="6"/>
              <w:kinsoku w:val="0"/>
              <w:overflowPunct w:val="0"/>
              <w:spacing w:line="298" w:lineRule="exact"/>
              <w:ind w:left="196" w:right="183"/>
              <w:jc w:val="center"/>
              <w:rPr>
                <w:rFonts w:hint="eastAsia"/>
                <w:color w:val="231F20"/>
                <w:sz w:val="24"/>
                <w:szCs w:val="24"/>
              </w:rPr>
            </w:pPr>
            <w:r>
              <w:rPr>
                <w:rFonts w:hint="eastAsia"/>
                <w:color w:val="231F20"/>
                <w:sz w:val="24"/>
                <w:szCs w:val="24"/>
              </w:rPr>
              <w:t>合计 22 项，由新区投资建设，预计新增公立医疗机构床位 860 张。</w:t>
            </w:r>
          </w:p>
          <w:p>
            <w:pPr>
              <w:pStyle w:val="6"/>
              <w:kinsoku w:val="0"/>
              <w:overflowPunct w:val="0"/>
              <w:spacing w:line="298" w:lineRule="exact"/>
              <w:ind w:left="196" w:right="183"/>
              <w:jc w:val="center"/>
              <w:rPr>
                <w:rFonts w:hint="eastAsia"/>
                <w:color w:val="231F20"/>
                <w:sz w:val="24"/>
                <w:szCs w:val="24"/>
              </w:rPr>
            </w:pPr>
            <w:r>
              <w:rPr>
                <w:rFonts w:hint="eastAsia"/>
                <w:color w:val="231F20"/>
                <w:sz w:val="24"/>
                <w:szCs w:val="24"/>
              </w:rPr>
              <w:t>（按项目实施开始年度排序）</w:t>
            </w:r>
          </w:p>
        </w:tc>
        <w:tc>
          <w:tcPr>
            <w:tcW w:w="1174"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31"/>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032" w:hRule="atLeast"/>
        </w:trPr>
        <w:tc>
          <w:tcPr>
            <w:tcW w:w="78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2"/>
              <w:rPr>
                <w:rFonts w:hint="eastAsia" w:ascii="方正小标宋简体" w:hAnsi="方正小标宋简体" w:eastAsia="方正小标宋简体"/>
                <w:sz w:val="24"/>
                <w:szCs w:val="24"/>
              </w:rPr>
            </w:pPr>
          </w:p>
          <w:p>
            <w:pPr>
              <w:pStyle w:val="6"/>
              <w:kinsoku w:val="0"/>
              <w:overflowPunct w:val="0"/>
              <w:spacing w:before="1"/>
              <w:ind w:left="18"/>
              <w:jc w:val="center"/>
              <w:rPr>
                <w:rFonts w:hint="eastAsia"/>
                <w:color w:val="231F20"/>
                <w:sz w:val="24"/>
                <w:szCs w:val="24"/>
              </w:rPr>
            </w:pPr>
            <w:r>
              <w:rPr>
                <w:rFonts w:hint="eastAsia"/>
                <w:color w:val="231F20"/>
                <w:sz w:val="24"/>
                <w:szCs w:val="24"/>
              </w:rPr>
              <w:t>1</w:t>
            </w:r>
          </w:p>
        </w:tc>
        <w:tc>
          <w:tcPr>
            <w:tcW w:w="91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2"/>
              <w:rPr>
                <w:rFonts w:hint="eastAsia" w:ascii="方正小标宋简体" w:hAnsi="方正小标宋简体" w:eastAsia="方正小标宋简体"/>
                <w:sz w:val="24"/>
                <w:szCs w:val="24"/>
              </w:rPr>
            </w:pPr>
          </w:p>
          <w:p>
            <w:pPr>
              <w:pStyle w:val="6"/>
              <w:kinsoku w:val="0"/>
              <w:overflowPunct w:val="0"/>
              <w:spacing w:before="1"/>
              <w:ind w:left="56" w:right="32"/>
              <w:jc w:val="center"/>
              <w:rPr>
                <w:rFonts w:hint="eastAsia"/>
                <w:color w:val="231F20"/>
                <w:sz w:val="24"/>
                <w:szCs w:val="24"/>
              </w:rPr>
            </w:pPr>
            <w:r>
              <w:rPr>
                <w:rFonts w:hint="eastAsia"/>
                <w:color w:val="231F20"/>
                <w:sz w:val="24"/>
                <w:szCs w:val="24"/>
              </w:rPr>
              <w:t>续建</w:t>
            </w: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7"/>
              <w:rPr>
                <w:rFonts w:hint="eastAsia" w:ascii="方正小标宋简体" w:hAnsi="方正小标宋简体" w:eastAsia="方正小标宋简体"/>
                <w:sz w:val="16"/>
                <w:szCs w:val="24"/>
              </w:rPr>
            </w:pPr>
          </w:p>
          <w:p>
            <w:pPr>
              <w:pStyle w:val="6"/>
              <w:kinsoku w:val="0"/>
              <w:overflowPunct w:val="0"/>
              <w:spacing w:line="225" w:lineRule="auto"/>
              <w:ind w:left="49" w:right="22"/>
              <w:jc w:val="center"/>
              <w:rPr>
                <w:rFonts w:hint="eastAsia"/>
                <w:color w:val="231F20"/>
                <w:sz w:val="24"/>
                <w:szCs w:val="24"/>
              </w:rPr>
            </w:pPr>
            <w:r>
              <w:rPr>
                <w:rFonts w:hint="eastAsia"/>
                <w:color w:val="231F20"/>
                <w:sz w:val="24"/>
                <w:szCs w:val="24"/>
              </w:rPr>
              <w:t>兰州新区疾病预防控制中心、省级集中医学隔离观察点和医疗应急物资储备库建设项目</w:t>
            </w:r>
          </w:p>
        </w:tc>
        <w:tc>
          <w:tcPr>
            <w:tcW w:w="9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2"/>
              <w:rPr>
                <w:rFonts w:hint="eastAsia" w:ascii="方正小标宋简体" w:hAnsi="方正小标宋简体" w:eastAsia="方正小标宋简体"/>
                <w:sz w:val="24"/>
                <w:szCs w:val="24"/>
              </w:rPr>
            </w:pPr>
          </w:p>
          <w:p>
            <w:pPr>
              <w:pStyle w:val="6"/>
              <w:kinsoku w:val="0"/>
              <w:overflowPunct w:val="0"/>
              <w:spacing w:before="1"/>
              <w:ind w:left="24"/>
              <w:jc w:val="center"/>
              <w:rPr>
                <w:rFonts w:hint="eastAsia"/>
                <w:color w:val="231F20"/>
                <w:sz w:val="24"/>
                <w:szCs w:val="24"/>
              </w:rPr>
            </w:pPr>
            <w:r>
              <w:rPr>
                <w:rFonts w:hint="eastAsia"/>
                <w:color w:val="231F20"/>
                <w:sz w:val="24"/>
                <w:szCs w:val="24"/>
              </w:rPr>
              <w:t>/</w:t>
            </w:r>
          </w:p>
        </w:tc>
        <w:tc>
          <w:tcPr>
            <w:tcW w:w="8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7"/>
              <w:rPr>
                <w:rFonts w:hint="eastAsia" w:ascii="方正小标宋简体" w:hAnsi="方正小标宋简体" w:eastAsia="方正小标宋简体"/>
                <w:sz w:val="17"/>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3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2"/>
              <w:rPr>
                <w:rFonts w:hint="eastAsia" w:ascii="方正小标宋简体" w:hAnsi="方正小标宋简体" w:eastAsia="方正小标宋简体"/>
                <w:sz w:val="24"/>
                <w:szCs w:val="24"/>
              </w:rPr>
            </w:pPr>
          </w:p>
          <w:p>
            <w:pPr>
              <w:pStyle w:val="6"/>
              <w:kinsoku w:val="0"/>
              <w:overflowPunct w:val="0"/>
              <w:spacing w:before="1"/>
              <w:ind w:left="22"/>
              <w:jc w:val="center"/>
              <w:rPr>
                <w:rFonts w:hint="eastAsia"/>
                <w:color w:val="231F20"/>
                <w:sz w:val="24"/>
                <w:szCs w:val="24"/>
              </w:rPr>
            </w:pPr>
            <w:r>
              <w:rPr>
                <w:rFonts w:hint="eastAsia"/>
                <w:color w:val="231F20"/>
                <w:sz w:val="24"/>
                <w:szCs w:val="24"/>
              </w:rPr>
              <w:t>/</w:t>
            </w:r>
          </w:p>
        </w:tc>
        <w:tc>
          <w:tcPr>
            <w:tcW w:w="103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7"/>
              <w:rPr>
                <w:rFonts w:hint="eastAsia" w:ascii="方正小标宋简体" w:hAnsi="方正小标宋简体" w:eastAsia="方正小标宋简体"/>
                <w:sz w:val="16"/>
                <w:szCs w:val="24"/>
              </w:rPr>
            </w:pPr>
          </w:p>
          <w:p>
            <w:pPr>
              <w:pStyle w:val="6"/>
              <w:kinsoku w:val="0"/>
              <w:overflowPunct w:val="0"/>
              <w:spacing w:line="225" w:lineRule="auto"/>
              <w:ind w:left="65" w:right="-87" w:firstLine="60"/>
              <w:rPr>
                <w:rFonts w:hint="eastAsia"/>
                <w:color w:val="231F20"/>
                <w:sz w:val="24"/>
                <w:szCs w:val="24"/>
              </w:rPr>
            </w:pPr>
            <w:r>
              <w:rPr>
                <w:rFonts w:hint="eastAsia"/>
                <w:color w:val="231F20"/>
                <w:sz w:val="24"/>
                <w:szCs w:val="24"/>
              </w:rPr>
              <w:t>经十七路西侧、医 疗 综 合体东</w:t>
            </w:r>
          </w:p>
          <w:p>
            <w:pPr>
              <w:pStyle w:val="6"/>
              <w:kinsoku w:val="0"/>
              <w:overflowPunct w:val="0"/>
              <w:spacing w:line="289" w:lineRule="exact"/>
              <w:ind w:left="245"/>
              <w:rPr>
                <w:rFonts w:hint="eastAsia"/>
                <w:color w:val="231F20"/>
                <w:sz w:val="24"/>
                <w:szCs w:val="24"/>
              </w:rPr>
            </w:pPr>
            <w:r>
              <w:rPr>
                <w:rFonts w:hint="eastAsia"/>
                <w:color w:val="231F20"/>
                <w:sz w:val="24"/>
                <w:szCs w:val="24"/>
              </w:rPr>
              <w:t>南角</w:t>
            </w:r>
          </w:p>
        </w:tc>
        <w:tc>
          <w:tcPr>
            <w:tcW w:w="13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0"/>
              <w:rPr>
                <w:rFonts w:hint="eastAsia" w:ascii="方正小标宋简体" w:hAnsi="方正小标宋简体" w:eastAsia="方正小标宋简体"/>
                <w:sz w:val="1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2020-</w:t>
            </w:r>
          </w:p>
          <w:p>
            <w:pPr>
              <w:pStyle w:val="6"/>
              <w:kinsoku w:val="0"/>
              <w:overflowPunct w:val="0"/>
              <w:spacing w:line="298" w:lineRule="exact"/>
              <w:ind w:left="283"/>
              <w:rPr>
                <w:rFonts w:hint="eastAsia"/>
                <w:color w:val="231F20"/>
                <w:sz w:val="24"/>
                <w:szCs w:val="24"/>
              </w:rPr>
            </w:pPr>
            <w:r>
              <w:rPr>
                <w:rFonts w:hint="eastAsia"/>
                <w:color w:val="231F20"/>
                <w:sz w:val="24"/>
                <w:szCs w:val="24"/>
              </w:rPr>
              <w:t>2022</w:t>
            </w:r>
          </w:p>
        </w:tc>
        <w:tc>
          <w:tcPr>
            <w:tcW w:w="1174"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2"/>
              <w:rPr>
                <w:rFonts w:hint="eastAsia" w:ascii="方正小标宋简体" w:hAnsi="方正小标宋简体" w:eastAsia="方正小标宋简体"/>
                <w:sz w:val="24"/>
                <w:szCs w:val="24"/>
              </w:rPr>
            </w:pPr>
          </w:p>
          <w:p>
            <w:pPr>
              <w:pStyle w:val="6"/>
              <w:kinsoku w:val="0"/>
              <w:overflowPunct w:val="0"/>
              <w:spacing w:before="1"/>
              <w:ind w:left="164" w:right="142"/>
              <w:jc w:val="center"/>
              <w:rPr>
                <w:rFonts w:hint="eastAsia"/>
                <w:color w:val="231F20"/>
                <w:sz w:val="24"/>
                <w:szCs w:val="24"/>
              </w:rPr>
            </w:pPr>
            <w:r>
              <w:rPr>
                <w:rFonts w:hint="eastAsia"/>
                <w:color w:val="231F20"/>
                <w:sz w:val="24"/>
                <w:szCs w:val="24"/>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53" w:hRule="atLeast"/>
        </w:trPr>
        <w:tc>
          <w:tcPr>
            <w:tcW w:w="78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2</w:t>
            </w:r>
          </w:p>
        </w:tc>
        <w:tc>
          <w:tcPr>
            <w:tcW w:w="91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529" w:right="142" w:hanging="360"/>
              <w:rPr>
                <w:rFonts w:hint="eastAsia"/>
                <w:color w:val="231F20"/>
                <w:sz w:val="24"/>
                <w:szCs w:val="24"/>
              </w:rPr>
            </w:pPr>
            <w:r>
              <w:rPr>
                <w:rFonts w:hint="eastAsia"/>
                <w:color w:val="231F20"/>
                <w:sz w:val="24"/>
                <w:szCs w:val="24"/>
              </w:rPr>
              <w:t>小横路社区医院建设项目</w:t>
            </w:r>
          </w:p>
        </w:tc>
        <w:tc>
          <w:tcPr>
            <w:tcW w:w="9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二级</w:t>
            </w:r>
          </w:p>
        </w:tc>
        <w:tc>
          <w:tcPr>
            <w:tcW w:w="8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秦川园区</w:t>
            </w:r>
          </w:p>
        </w:tc>
        <w:tc>
          <w:tcPr>
            <w:tcW w:w="123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100</w:t>
            </w:r>
          </w:p>
        </w:tc>
        <w:tc>
          <w:tcPr>
            <w:tcW w:w="103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4"/>
              <w:rPr>
                <w:rFonts w:hint="eastAsia" w:ascii="方正小标宋简体" w:hAnsi="方正小标宋简体" w:eastAsia="方正小标宋简体"/>
                <w:sz w:val="17"/>
                <w:szCs w:val="24"/>
              </w:rPr>
            </w:pPr>
          </w:p>
          <w:p>
            <w:pPr>
              <w:pStyle w:val="6"/>
              <w:kinsoku w:val="0"/>
              <w:overflowPunct w:val="0"/>
              <w:spacing w:line="225" w:lineRule="auto"/>
              <w:ind w:left="65" w:right="-87" w:firstLine="60"/>
              <w:rPr>
                <w:rFonts w:hint="eastAsia"/>
                <w:color w:val="231F20"/>
                <w:sz w:val="24"/>
                <w:szCs w:val="24"/>
              </w:rPr>
            </w:pPr>
            <w:r>
              <w:rPr>
                <w:rFonts w:hint="eastAsia"/>
                <w:color w:val="231F20"/>
                <w:sz w:val="24"/>
                <w:szCs w:val="24"/>
              </w:rPr>
              <w:t>纬六十路南侧、经 四 十 路东侧</w:t>
            </w:r>
          </w:p>
        </w:tc>
        <w:tc>
          <w:tcPr>
            <w:tcW w:w="13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174"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53" w:hRule="atLeast"/>
        </w:trPr>
        <w:tc>
          <w:tcPr>
            <w:tcW w:w="78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3</w:t>
            </w:r>
          </w:p>
        </w:tc>
        <w:tc>
          <w:tcPr>
            <w:tcW w:w="91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169" w:right="22" w:hanging="120"/>
              <w:rPr>
                <w:rFonts w:hint="eastAsia"/>
                <w:color w:val="231F20"/>
                <w:sz w:val="24"/>
                <w:szCs w:val="24"/>
              </w:rPr>
            </w:pPr>
            <w:r>
              <w:rPr>
                <w:rFonts w:hint="eastAsia"/>
                <w:color w:val="231F20"/>
                <w:sz w:val="24"/>
                <w:szCs w:val="24"/>
              </w:rPr>
              <w:t>移民安置区卫生服务中心建设项目</w:t>
            </w:r>
          </w:p>
        </w:tc>
        <w:tc>
          <w:tcPr>
            <w:tcW w:w="9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中心</w:t>
            </w:r>
          </w:p>
        </w:tc>
        <w:tc>
          <w:tcPr>
            <w:tcW w:w="8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西岔园区</w:t>
            </w:r>
          </w:p>
        </w:tc>
        <w:tc>
          <w:tcPr>
            <w:tcW w:w="123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20</w:t>
            </w:r>
          </w:p>
        </w:tc>
        <w:tc>
          <w:tcPr>
            <w:tcW w:w="103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6"/>
              <w:rPr>
                <w:rFonts w:hint="eastAsia" w:ascii="方正小标宋简体" w:hAnsi="方正小标宋简体" w:eastAsia="方正小标宋简体"/>
                <w:sz w:val="25"/>
                <w:szCs w:val="24"/>
              </w:rPr>
            </w:pPr>
          </w:p>
          <w:p>
            <w:pPr>
              <w:pStyle w:val="6"/>
              <w:kinsoku w:val="0"/>
              <w:overflowPunct w:val="0"/>
              <w:spacing w:before="1" w:line="225" w:lineRule="auto"/>
              <w:ind w:left="125" w:right="102"/>
              <w:jc w:val="both"/>
              <w:rPr>
                <w:rFonts w:hint="eastAsia"/>
                <w:color w:val="231F20"/>
                <w:sz w:val="24"/>
                <w:szCs w:val="24"/>
              </w:rPr>
            </w:pPr>
            <w:r>
              <w:rPr>
                <w:rFonts w:hint="eastAsia"/>
                <w:color w:val="231F20"/>
                <w:sz w:val="24"/>
                <w:szCs w:val="24"/>
              </w:rPr>
              <w:t>新区现代农业产业园</w:t>
            </w:r>
          </w:p>
        </w:tc>
        <w:tc>
          <w:tcPr>
            <w:tcW w:w="13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2022</w:t>
            </w:r>
          </w:p>
        </w:tc>
        <w:tc>
          <w:tcPr>
            <w:tcW w:w="1174"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53" w:hRule="atLeast"/>
        </w:trPr>
        <w:tc>
          <w:tcPr>
            <w:tcW w:w="78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4</w:t>
            </w:r>
          </w:p>
        </w:tc>
        <w:tc>
          <w:tcPr>
            <w:tcW w:w="91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49" w:right="22"/>
              <w:rPr>
                <w:rFonts w:hint="eastAsia"/>
                <w:color w:val="231F20"/>
                <w:sz w:val="24"/>
                <w:szCs w:val="24"/>
              </w:rPr>
            </w:pPr>
            <w:r>
              <w:rPr>
                <w:rFonts w:hint="eastAsia"/>
                <w:color w:val="231F20"/>
                <w:sz w:val="24"/>
                <w:szCs w:val="24"/>
              </w:rPr>
              <w:t>瑞岭馨苑社区卫生服务中心建设项目</w:t>
            </w:r>
          </w:p>
        </w:tc>
        <w:tc>
          <w:tcPr>
            <w:tcW w:w="9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中心</w:t>
            </w:r>
          </w:p>
        </w:tc>
        <w:tc>
          <w:tcPr>
            <w:tcW w:w="8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3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20</w:t>
            </w:r>
          </w:p>
        </w:tc>
        <w:tc>
          <w:tcPr>
            <w:tcW w:w="1033"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7"/>
              <w:rPr>
                <w:rFonts w:hint="eastAsia" w:ascii="方正小标宋简体" w:hAnsi="方正小标宋简体" w:eastAsia="方正小标宋简体"/>
                <w:sz w:val="16"/>
                <w:szCs w:val="24"/>
              </w:rPr>
            </w:pPr>
          </w:p>
          <w:p>
            <w:pPr>
              <w:pStyle w:val="6"/>
              <w:kinsoku w:val="0"/>
              <w:overflowPunct w:val="0"/>
              <w:spacing w:before="1" w:line="298" w:lineRule="exact"/>
              <w:ind w:left="245"/>
              <w:rPr>
                <w:rFonts w:hint="eastAsia"/>
                <w:color w:val="231F20"/>
                <w:sz w:val="24"/>
                <w:szCs w:val="24"/>
              </w:rPr>
            </w:pPr>
            <w:r>
              <w:rPr>
                <w:rFonts w:hint="eastAsia"/>
                <w:color w:val="231F20"/>
                <w:sz w:val="24"/>
                <w:szCs w:val="24"/>
              </w:rPr>
              <w:t>ES1#</w:t>
            </w:r>
          </w:p>
          <w:p>
            <w:pPr>
              <w:pStyle w:val="6"/>
              <w:kinsoku w:val="0"/>
              <w:overflowPunct w:val="0"/>
              <w:spacing w:before="4" w:line="225" w:lineRule="auto"/>
              <w:ind w:left="95" w:right="-87" w:hanging="30"/>
              <w:rPr>
                <w:rFonts w:hint="eastAsia"/>
                <w:color w:val="231F20"/>
                <w:spacing w:val="-30"/>
                <w:sz w:val="24"/>
                <w:szCs w:val="24"/>
              </w:rPr>
            </w:pPr>
            <w:r>
              <w:rPr>
                <w:rFonts w:hint="eastAsia"/>
                <w:color w:val="231F20"/>
                <w:sz w:val="24"/>
                <w:szCs w:val="24"/>
              </w:rPr>
              <w:t>路南侧、ES6#</w:t>
            </w:r>
            <w:r>
              <w:rPr>
                <w:rFonts w:hint="eastAsia"/>
                <w:color w:val="231F20"/>
                <w:spacing w:val="-30"/>
                <w:sz w:val="24"/>
                <w:szCs w:val="24"/>
              </w:rPr>
              <w:t xml:space="preserve"> 路</w:t>
            </w:r>
          </w:p>
          <w:p>
            <w:pPr>
              <w:pStyle w:val="6"/>
              <w:kinsoku w:val="0"/>
              <w:overflowPunct w:val="0"/>
              <w:spacing w:line="291" w:lineRule="exact"/>
              <w:ind w:left="245"/>
              <w:rPr>
                <w:rFonts w:hint="eastAsia"/>
                <w:color w:val="231F20"/>
                <w:sz w:val="24"/>
                <w:szCs w:val="24"/>
              </w:rPr>
            </w:pPr>
            <w:r>
              <w:rPr>
                <w:rFonts w:hint="eastAsia"/>
                <w:color w:val="231F20"/>
                <w:sz w:val="24"/>
                <w:szCs w:val="24"/>
              </w:rPr>
              <w:t>西侧</w:t>
            </w:r>
          </w:p>
        </w:tc>
        <w:tc>
          <w:tcPr>
            <w:tcW w:w="134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2022</w:t>
            </w:r>
          </w:p>
        </w:tc>
        <w:tc>
          <w:tcPr>
            <w:tcW w:w="1174"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45" w:hRule="atLeast"/>
        </w:trPr>
        <w:tc>
          <w:tcPr>
            <w:tcW w:w="782"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8"/>
              <w:jc w:val="center"/>
              <w:rPr>
                <w:rFonts w:hint="eastAsia"/>
                <w:color w:val="231F20"/>
                <w:sz w:val="24"/>
                <w:szCs w:val="24"/>
              </w:rPr>
            </w:pPr>
            <w:r>
              <w:rPr>
                <w:rFonts w:hint="eastAsia"/>
                <w:color w:val="231F20"/>
                <w:sz w:val="24"/>
                <w:szCs w:val="24"/>
              </w:rPr>
              <w:t>5</w:t>
            </w:r>
          </w:p>
        </w:tc>
        <w:tc>
          <w:tcPr>
            <w:tcW w:w="91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2009"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49" w:right="22"/>
              <w:rPr>
                <w:rFonts w:hint="eastAsia"/>
                <w:color w:val="231F20"/>
                <w:sz w:val="24"/>
                <w:szCs w:val="24"/>
              </w:rPr>
            </w:pPr>
            <w:r>
              <w:rPr>
                <w:rFonts w:hint="eastAsia"/>
                <w:color w:val="231F20"/>
                <w:sz w:val="24"/>
                <w:szCs w:val="24"/>
              </w:rPr>
              <w:t>瑞岭学府社区卫生服务中心建设项目</w:t>
            </w:r>
          </w:p>
        </w:tc>
        <w:tc>
          <w:tcPr>
            <w:tcW w:w="947"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中心</w:t>
            </w:r>
          </w:p>
        </w:tc>
        <w:tc>
          <w:tcPr>
            <w:tcW w:w="83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3"/>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3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20</w:t>
            </w:r>
          </w:p>
        </w:tc>
        <w:tc>
          <w:tcPr>
            <w:tcW w:w="1033"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1" w:line="225" w:lineRule="auto"/>
              <w:ind w:left="125" w:right="102"/>
              <w:jc w:val="center"/>
              <w:rPr>
                <w:rFonts w:hint="eastAsia"/>
                <w:color w:val="231F20"/>
                <w:sz w:val="24"/>
                <w:szCs w:val="24"/>
              </w:rPr>
            </w:pPr>
            <w:r>
              <w:rPr>
                <w:rFonts w:hint="eastAsia"/>
                <w:color w:val="231F20"/>
                <w:sz w:val="24"/>
                <w:szCs w:val="24"/>
              </w:rPr>
              <w:t>纬七路南侧、经十一支路东侧</w:t>
            </w:r>
          </w:p>
        </w:tc>
        <w:tc>
          <w:tcPr>
            <w:tcW w:w="134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2024-</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174"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15"/>
              <w:rPr>
                <w:rFonts w:hint="eastAsia" w:ascii="方正小标宋简体" w:hAnsi="方正小标宋简体" w:eastAsia="方正小标宋简体"/>
                <w:sz w:val="16"/>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0.1</w:t>
            </w:r>
          </w:p>
        </w:tc>
      </w:tr>
    </w:tbl>
    <w:p>
      <w:pPr>
        <w:rPr>
          <w:rFonts w:hint="eastAsia" w:ascii="方正小标宋简体" w:hAnsi="方正小标宋简体" w:eastAsia="方正小标宋简体"/>
          <w:color w:val="231F20"/>
          <w:w w:val="70"/>
          <w:sz w:val="40"/>
          <w:szCs w:val="24"/>
        </w:rPr>
        <w:sectPr>
          <w:pgSz w:w="12250" w:h="17180"/>
          <w:pgMar w:top="1620" w:right="1480" w:bottom="1640" w:left="1480" w:header="0" w:footer="1444" w:gutter="0"/>
          <w:lnNumType w:countBy="0" w:distance="360"/>
          <w:cols w:space="720" w:num="1"/>
        </w:sectPr>
      </w:pPr>
    </w:p>
    <w:p>
      <w:pPr>
        <w:pStyle w:val="3"/>
        <w:kinsoku w:val="0"/>
        <w:overflowPunct w:val="0"/>
        <w:spacing w:before="7"/>
        <w:ind w:left="0"/>
        <w:rPr>
          <w:rFonts w:hint="eastAsia" w:ascii="方正小标宋简体" w:hAnsi="方正小标宋简体" w:eastAsia="方正小标宋简体"/>
          <w:sz w:val="20"/>
          <w:szCs w:val="24"/>
        </w:rPr>
      </w:pPr>
    </w:p>
    <w:tbl>
      <w:tblPr>
        <w:tblStyle w:val="4"/>
        <w:tblW w:w="10565" w:type="dxa"/>
        <w:tblInd w:w="-3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2"/>
        <w:gridCol w:w="892"/>
        <w:gridCol w:w="1847"/>
        <w:gridCol w:w="954"/>
        <w:gridCol w:w="908"/>
        <w:gridCol w:w="1205"/>
        <w:gridCol w:w="1206"/>
        <w:gridCol w:w="1361"/>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99" w:hRule="atLeast"/>
        </w:trPr>
        <w:tc>
          <w:tcPr>
            <w:tcW w:w="1002"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9" w:right="31"/>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序号</w:t>
            </w:r>
          </w:p>
        </w:tc>
        <w:tc>
          <w:tcPr>
            <w:tcW w:w="892"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性质</w:t>
            </w:r>
          </w:p>
        </w:tc>
        <w:tc>
          <w:tcPr>
            <w:tcW w:w="1847"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29"/>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项目名称</w:t>
            </w:r>
          </w:p>
        </w:tc>
        <w:tc>
          <w:tcPr>
            <w:tcW w:w="954"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等级</w:t>
            </w:r>
          </w:p>
        </w:tc>
        <w:tc>
          <w:tcPr>
            <w:tcW w:w="908"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76"/>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园区</w:t>
            </w:r>
          </w:p>
        </w:tc>
        <w:tc>
          <w:tcPr>
            <w:tcW w:w="1205"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67" w:right="45"/>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床位数</w:t>
            </w:r>
          </w:p>
        </w:tc>
        <w:tc>
          <w:tcPr>
            <w:tcW w:w="1206"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245"/>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位置</w:t>
            </w:r>
          </w:p>
        </w:tc>
        <w:tc>
          <w:tcPr>
            <w:tcW w:w="1361"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3"/>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实施年限</w:t>
            </w:r>
          </w:p>
        </w:tc>
        <w:tc>
          <w:tcPr>
            <w:tcW w:w="1190"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82" w:line="182" w:lineRule="auto"/>
              <w:ind w:left="55" w:right="30" w:firstLine="69"/>
              <w:rPr>
                <w:rFonts w:hint="default" w:ascii="方正黑体简体" w:hAnsi="方正黑体简体" w:eastAsia="方正黑体简体"/>
                <w:color w:val="231F20"/>
                <w:spacing w:val="-16"/>
                <w:sz w:val="24"/>
                <w:szCs w:val="24"/>
              </w:rPr>
            </w:pPr>
            <w:r>
              <w:rPr>
                <w:rFonts w:hint="default" w:ascii="方正黑体简体" w:hAnsi="方正黑体简体" w:eastAsia="方正黑体简体"/>
                <w:color w:val="231F20"/>
                <w:sz w:val="24"/>
                <w:szCs w:val="24"/>
              </w:rPr>
              <w:t>总投资</w:t>
            </w:r>
            <w:r>
              <w:rPr>
                <w:rFonts w:hint="default" w:ascii="方正黑体简体" w:hAnsi="方正黑体简体" w:eastAsia="方正黑体简体"/>
                <w:color w:val="231F20"/>
                <w:sz w:val="24"/>
                <w:szCs w:val="24"/>
                <w:lang w:val="en-US" w:eastAsia="zh-CN"/>
              </w:rPr>
              <w:t xml:space="preserve"> </w:t>
            </w:r>
            <w:r>
              <w:rPr>
                <w:rFonts w:hint="default" w:ascii="方正黑体简体" w:hAnsi="方正黑体简体" w:eastAsia="方正黑体简体"/>
                <w:color w:val="231F20"/>
                <w:spacing w:val="-3"/>
                <w:sz w:val="24"/>
                <w:szCs w:val="24"/>
              </w:rPr>
              <w:t>( 亿元</w:t>
            </w:r>
            <w:r>
              <w:rPr>
                <w:rFonts w:hint="default" w:ascii="方正黑体简体" w:hAnsi="方正黑体简体" w:eastAsia="方正黑体简体"/>
                <w:color w:val="231F20"/>
                <w:spacing w:val="-16"/>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15" w:hRule="atLeast"/>
        </w:trPr>
        <w:tc>
          <w:tcPr>
            <w:tcW w:w="100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18"/>
              <w:jc w:val="center"/>
              <w:rPr>
                <w:rFonts w:hint="eastAsia"/>
                <w:color w:val="231F20"/>
                <w:sz w:val="24"/>
                <w:szCs w:val="24"/>
              </w:rPr>
            </w:pPr>
            <w:r>
              <w:rPr>
                <w:rFonts w:hint="eastAsia"/>
                <w:color w:val="231F20"/>
                <w:sz w:val="24"/>
                <w:szCs w:val="24"/>
              </w:rPr>
              <w:t>6</w:t>
            </w:r>
          </w:p>
        </w:tc>
        <w:tc>
          <w:tcPr>
            <w:tcW w:w="8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169" w:right="22" w:hanging="120"/>
              <w:rPr>
                <w:rFonts w:hint="eastAsia"/>
                <w:color w:val="231F20"/>
                <w:sz w:val="24"/>
                <w:szCs w:val="24"/>
              </w:rPr>
            </w:pPr>
            <w:r>
              <w:rPr>
                <w:rFonts w:hint="eastAsia"/>
                <w:color w:val="231F20"/>
                <w:sz w:val="24"/>
                <w:szCs w:val="24"/>
              </w:rPr>
              <w:t>瑞岭名郡社区卫生服务站建设项目</w:t>
            </w:r>
          </w:p>
        </w:tc>
        <w:tc>
          <w:tcPr>
            <w:tcW w:w="95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86" w:line="225" w:lineRule="auto"/>
              <w:ind w:left="125" w:right="102"/>
              <w:jc w:val="both"/>
              <w:rPr>
                <w:rFonts w:hint="eastAsia"/>
                <w:color w:val="231F20"/>
                <w:sz w:val="24"/>
                <w:szCs w:val="24"/>
              </w:rPr>
            </w:pPr>
            <w:r>
              <w:rPr>
                <w:rFonts w:hint="eastAsia"/>
                <w:color w:val="231F20"/>
                <w:sz w:val="24"/>
                <w:szCs w:val="24"/>
              </w:rPr>
              <w:t>纬一路南侧、经十路西侧</w:t>
            </w: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2022</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right="220"/>
              <w:jc w:val="right"/>
              <w:rPr>
                <w:rFonts w:hint="eastAsia"/>
                <w:color w:val="231F20"/>
                <w:sz w:val="24"/>
                <w:szCs w:val="24"/>
              </w:rPr>
            </w:pPr>
            <w:r>
              <w:rPr>
                <w:rFonts w:hint="eastAsia"/>
                <w:color w:val="231F20"/>
                <w:sz w:val="24"/>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15" w:hRule="atLeast"/>
        </w:trPr>
        <w:tc>
          <w:tcPr>
            <w:tcW w:w="100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18"/>
              <w:jc w:val="center"/>
              <w:rPr>
                <w:rFonts w:hint="eastAsia"/>
                <w:color w:val="231F20"/>
                <w:sz w:val="24"/>
                <w:szCs w:val="24"/>
              </w:rPr>
            </w:pPr>
            <w:r>
              <w:rPr>
                <w:rFonts w:hint="eastAsia"/>
                <w:color w:val="231F20"/>
                <w:sz w:val="24"/>
                <w:szCs w:val="24"/>
              </w:rPr>
              <w:t>7</w:t>
            </w:r>
          </w:p>
        </w:tc>
        <w:tc>
          <w:tcPr>
            <w:tcW w:w="8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169" w:right="22" w:hanging="120"/>
              <w:rPr>
                <w:rFonts w:hint="eastAsia"/>
                <w:color w:val="231F20"/>
                <w:sz w:val="24"/>
                <w:szCs w:val="24"/>
              </w:rPr>
            </w:pPr>
            <w:r>
              <w:rPr>
                <w:rFonts w:hint="eastAsia"/>
                <w:color w:val="231F20"/>
                <w:sz w:val="24"/>
                <w:szCs w:val="24"/>
              </w:rPr>
              <w:t>瑞岭锦绣社区卫生服务站建设项目</w:t>
            </w:r>
          </w:p>
        </w:tc>
        <w:tc>
          <w:tcPr>
            <w:tcW w:w="95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86" w:line="225" w:lineRule="auto"/>
              <w:ind w:left="125" w:right="102"/>
              <w:jc w:val="both"/>
              <w:rPr>
                <w:rFonts w:hint="eastAsia"/>
                <w:color w:val="231F20"/>
                <w:sz w:val="24"/>
                <w:szCs w:val="24"/>
              </w:rPr>
            </w:pPr>
            <w:r>
              <w:rPr>
                <w:rFonts w:hint="eastAsia"/>
                <w:color w:val="231F20"/>
                <w:sz w:val="24"/>
                <w:szCs w:val="24"/>
              </w:rPr>
              <w:t>纬八路南侧、经十一路西侧</w:t>
            </w: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2022</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right="160"/>
              <w:jc w:val="right"/>
              <w:rPr>
                <w:rFonts w:hint="eastAsia"/>
                <w:color w:val="231F20"/>
                <w:sz w:val="24"/>
                <w:szCs w:val="24"/>
              </w:rPr>
            </w:pPr>
            <w:r>
              <w:rPr>
                <w:rFonts w:hint="eastAsia"/>
                <w:color w:val="231F20"/>
                <w:sz w:val="24"/>
                <w:szCs w:val="24"/>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15" w:hRule="atLeast"/>
        </w:trPr>
        <w:tc>
          <w:tcPr>
            <w:tcW w:w="100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18"/>
              <w:jc w:val="center"/>
              <w:rPr>
                <w:rFonts w:hint="eastAsia"/>
                <w:color w:val="231F20"/>
                <w:sz w:val="24"/>
                <w:szCs w:val="24"/>
              </w:rPr>
            </w:pPr>
            <w:r>
              <w:rPr>
                <w:rFonts w:hint="eastAsia"/>
                <w:color w:val="231F20"/>
                <w:sz w:val="24"/>
                <w:szCs w:val="24"/>
              </w:rPr>
              <w:t>8</w:t>
            </w:r>
          </w:p>
        </w:tc>
        <w:tc>
          <w:tcPr>
            <w:tcW w:w="8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529" w:right="22" w:hanging="480"/>
              <w:rPr>
                <w:rFonts w:hint="eastAsia"/>
                <w:color w:val="231F20"/>
                <w:sz w:val="24"/>
                <w:szCs w:val="24"/>
              </w:rPr>
            </w:pPr>
            <w:r>
              <w:rPr>
                <w:rFonts w:hint="eastAsia"/>
                <w:color w:val="231F20"/>
                <w:sz w:val="24"/>
                <w:szCs w:val="24"/>
              </w:rPr>
              <w:t>化工园区急救分站建设项目</w:t>
            </w:r>
          </w:p>
        </w:tc>
        <w:tc>
          <w:tcPr>
            <w:tcW w:w="95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1"/>
              <w:rPr>
                <w:rFonts w:hint="eastAsia" w:ascii="方正小标宋简体" w:hAnsi="方正小标宋简体" w:eastAsia="方正小标宋简体"/>
                <w:sz w:val="18"/>
                <w:szCs w:val="24"/>
              </w:rPr>
            </w:pPr>
          </w:p>
          <w:p>
            <w:pPr>
              <w:pStyle w:val="6"/>
              <w:kinsoku w:val="0"/>
              <w:overflowPunct w:val="0"/>
              <w:spacing w:before="1" w:line="225" w:lineRule="auto"/>
              <w:ind w:left="196" w:right="170"/>
              <w:jc w:val="both"/>
              <w:rPr>
                <w:rFonts w:hint="eastAsia"/>
                <w:color w:val="231F20"/>
                <w:sz w:val="24"/>
                <w:szCs w:val="24"/>
              </w:rPr>
            </w:pPr>
            <w:r>
              <w:rPr>
                <w:rFonts w:hint="eastAsia"/>
                <w:color w:val="231F20"/>
                <w:sz w:val="24"/>
                <w:szCs w:val="24"/>
              </w:rPr>
              <w:t>急救站</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秦川园区</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245" w:right="222"/>
              <w:rPr>
                <w:rFonts w:hint="eastAsia"/>
                <w:color w:val="231F20"/>
                <w:sz w:val="24"/>
                <w:szCs w:val="24"/>
              </w:rPr>
            </w:pPr>
            <w:r>
              <w:rPr>
                <w:rFonts w:hint="eastAsia"/>
                <w:color w:val="231F20"/>
                <w:sz w:val="24"/>
                <w:szCs w:val="24"/>
              </w:rPr>
              <w:t>化工园区</w:t>
            </w: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2021-</w:t>
            </w:r>
          </w:p>
          <w:p>
            <w:pPr>
              <w:pStyle w:val="6"/>
              <w:kinsoku w:val="0"/>
              <w:overflowPunct w:val="0"/>
              <w:spacing w:line="298" w:lineRule="exact"/>
              <w:ind w:left="283"/>
              <w:rPr>
                <w:rFonts w:hint="eastAsia"/>
                <w:color w:val="231F20"/>
                <w:sz w:val="24"/>
                <w:szCs w:val="24"/>
              </w:rPr>
            </w:pPr>
            <w:r>
              <w:rPr>
                <w:rFonts w:hint="eastAsia"/>
                <w:color w:val="231F20"/>
                <w:sz w:val="24"/>
                <w:szCs w:val="24"/>
              </w:rPr>
              <w:t>2022</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right="160"/>
              <w:jc w:val="right"/>
              <w:rPr>
                <w:rFonts w:hint="eastAsia"/>
                <w:color w:val="231F20"/>
                <w:sz w:val="24"/>
                <w:szCs w:val="24"/>
              </w:rPr>
            </w:pPr>
            <w:r>
              <w:rPr>
                <w:rFonts w:hint="eastAsia"/>
                <w:color w:val="231F20"/>
                <w:sz w:val="24"/>
                <w:szCs w:val="24"/>
              </w:rPr>
              <w:t>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15" w:hRule="atLeast"/>
        </w:trPr>
        <w:tc>
          <w:tcPr>
            <w:tcW w:w="100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18"/>
              <w:jc w:val="center"/>
              <w:rPr>
                <w:rFonts w:hint="eastAsia"/>
                <w:color w:val="231F20"/>
                <w:sz w:val="24"/>
                <w:szCs w:val="24"/>
              </w:rPr>
            </w:pPr>
            <w:r>
              <w:rPr>
                <w:rFonts w:hint="eastAsia"/>
                <w:color w:val="231F20"/>
                <w:sz w:val="24"/>
                <w:szCs w:val="24"/>
              </w:rPr>
              <w:t>9</w:t>
            </w:r>
          </w:p>
        </w:tc>
        <w:tc>
          <w:tcPr>
            <w:tcW w:w="8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169" w:right="22" w:hanging="120"/>
              <w:rPr>
                <w:rFonts w:hint="eastAsia"/>
                <w:color w:val="231F20"/>
                <w:sz w:val="24"/>
                <w:szCs w:val="24"/>
              </w:rPr>
            </w:pPr>
            <w:r>
              <w:rPr>
                <w:rFonts w:hint="eastAsia"/>
                <w:color w:val="231F20"/>
                <w:sz w:val="24"/>
                <w:szCs w:val="24"/>
              </w:rPr>
              <w:t>园丁花园社区卫生服务站建设项目</w:t>
            </w:r>
          </w:p>
        </w:tc>
        <w:tc>
          <w:tcPr>
            <w:tcW w:w="95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西岔园区</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42" w:line="225" w:lineRule="auto"/>
              <w:ind w:left="125" w:right="102"/>
              <w:jc w:val="center"/>
              <w:rPr>
                <w:rFonts w:hint="eastAsia"/>
                <w:color w:val="231F20"/>
                <w:spacing w:val="-6"/>
                <w:sz w:val="24"/>
                <w:szCs w:val="24"/>
              </w:rPr>
            </w:pPr>
            <w:r>
              <w:rPr>
                <w:rFonts w:hint="eastAsia"/>
                <w:color w:val="231F20"/>
                <w:spacing w:val="-6"/>
                <w:sz w:val="24"/>
                <w:szCs w:val="24"/>
              </w:rPr>
              <w:t>纬十六</w:t>
            </w:r>
            <w:r>
              <w:rPr>
                <w:rFonts w:hint="eastAsia"/>
                <w:color w:val="231F20"/>
                <w:sz w:val="24"/>
                <w:szCs w:val="24"/>
              </w:rPr>
              <w:t xml:space="preserve">路北 </w:t>
            </w:r>
            <w:r>
              <w:rPr>
                <w:rFonts w:hint="eastAsia"/>
                <w:color w:val="231F20"/>
                <w:spacing w:val="-6"/>
                <w:sz w:val="24"/>
                <w:szCs w:val="24"/>
              </w:rPr>
              <w:t>侧、经二十七路东侧</w:t>
            </w: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2022-</w:t>
            </w:r>
          </w:p>
          <w:p>
            <w:pPr>
              <w:pStyle w:val="6"/>
              <w:kinsoku w:val="0"/>
              <w:overflowPunct w:val="0"/>
              <w:spacing w:line="298" w:lineRule="exact"/>
              <w:ind w:left="283"/>
              <w:rPr>
                <w:rFonts w:hint="eastAsia"/>
                <w:color w:val="231F20"/>
                <w:sz w:val="24"/>
                <w:szCs w:val="24"/>
              </w:rPr>
            </w:pPr>
            <w:r>
              <w:rPr>
                <w:rFonts w:hint="eastAsia"/>
                <w:color w:val="231F20"/>
                <w:sz w:val="24"/>
                <w:szCs w:val="24"/>
              </w:rPr>
              <w:t>2023</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right="160"/>
              <w:jc w:val="right"/>
              <w:rPr>
                <w:rFonts w:hint="eastAsia"/>
                <w:color w:val="231F20"/>
                <w:sz w:val="24"/>
                <w:szCs w:val="24"/>
              </w:rPr>
            </w:pPr>
            <w:r>
              <w:rPr>
                <w:rFonts w:hint="eastAsia"/>
                <w:color w:val="231F20"/>
                <w:sz w:val="24"/>
                <w:szCs w:val="24"/>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15" w:hRule="atLeast"/>
        </w:trPr>
        <w:tc>
          <w:tcPr>
            <w:tcW w:w="100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10</w:t>
            </w:r>
          </w:p>
        </w:tc>
        <w:tc>
          <w:tcPr>
            <w:tcW w:w="8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169" w:right="22" w:hanging="120"/>
              <w:rPr>
                <w:rFonts w:hint="eastAsia"/>
                <w:color w:val="231F20"/>
                <w:sz w:val="24"/>
                <w:szCs w:val="24"/>
              </w:rPr>
            </w:pPr>
            <w:r>
              <w:rPr>
                <w:rFonts w:hint="eastAsia"/>
                <w:color w:val="231F20"/>
                <w:sz w:val="24"/>
                <w:szCs w:val="24"/>
              </w:rPr>
              <w:t>瑞岭嘉苑社区卫生服务站建设项目</w:t>
            </w:r>
          </w:p>
        </w:tc>
        <w:tc>
          <w:tcPr>
            <w:tcW w:w="95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西岔园区</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86" w:line="225" w:lineRule="auto"/>
              <w:ind w:left="125" w:right="102"/>
              <w:jc w:val="both"/>
              <w:rPr>
                <w:rFonts w:hint="eastAsia"/>
                <w:color w:val="231F20"/>
                <w:sz w:val="24"/>
                <w:szCs w:val="24"/>
              </w:rPr>
            </w:pPr>
            <w:r>
              <w:rPr>
                <w:rFonts w:hint="eastAsia"/>
                <w:color w:val="231F20"/>
                <w:sz w:val="24"/>
                <w:szCs w:val="24"/>
              </w:rPr>
              <w:t>纬八路南侧、科中路西侧</w:t>
            </w: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2022-</w:t>
            </w:r>
          </w:p>
          <w:p>
            <w:pPr>
              <w:pStyle w:val="6"/>
              <w:kinsoku w:val="0"/>
              <w:overflowPunct w:val="0"/>
              <w:spacing w:line="298" w:lineRule="exact"/>
              <w:ind w:left="283"/>
              <w:rPr>
                <w:rFonts w:hint="eastAsia"/>
                <w:color w:val="231F20"/>
                <w:sz w:val="24"/>
                <w:szCs w:val="24"/>
              </w:rPr>
            </w:pPr>
            <w:r>
              <w:rPr>
                <w:rFonts w:hint="eastAsia"/>
                <w:color w:val="231F20"/>
                <w:sz w:val="24"/>
                <w:szCs w:val="24"/>
              </w:rPr>
              <w:t>2023</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right="160"/>
              <w:jc w:val="right"/>
              <w:rPr>
                <w:rFonts w:hint="eastAsia"/>
                <w:color w:val="231F20"/>
                <w:sz w:val="24"/>
                <w:szCs w:val="24"/>
              </w:rPr>
            </w:pPr>
            <w:r>
              <w:rPr>
                <w:rFonts w:hint="eastAsia"/>
                <w:color w:val="231F20"/>
                <w:sz w:val="24"/>
                <w:szCs w:val="24"/>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15" w:hRule="atLeast"/>
        </w:trPr>
        <w:tc>
          <w:tcPr>
            <w:tcW w:w="100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11</w:t>
            </w:r>
          </w:p>
        </w:tc>
        <w:tc>
          <w:tcPr>
            <w:tcW w:w="8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169" w:right="22" w:hanging="120"/>
              <w:rPr>
                <w:rFonts w:hint="eastAsia"/>
                <w:color w:val="231F20"/>
                <w:sz w:val="24"/>
                <w:szCs w:val="24"/>
              </w:rPr>
            </w:pPr>
            <w:r>
              <w:rPr>
                <w:rFonts w:hint="eastAsia"/>
                <w:color w:val="231F20"/>
                <w:sz w:val="24"/>
                <w:szCs w:val="24"/>
              </w:rPr>
              <w:t>恒裕湖畔社区卫生服务站建设项目</w:t>
            </w:r>
          </w:p>
        </w:tc>
        <w:tc>
          <w:tcPr>
            <w:tcW w:w="95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86" w:line="225" w:lineRule="auto"/>
              <w:ind w:left="125" w:right="102"/>
              <w:jc w:val="both"/>
              <w:rPr>
                <w:rFonts w:hint="eastAsia"/>
                <w:color w:val="231F20"/>
                <w:sz w:val="24"/>
                <w:szCs w:val="24"/>
              </w:rPr>
            </w:pPr>
            <w:r>
              <w:rPr>
                <w:rFonts w:hint="eastAsia"/>
                <w:color w:val="231F20"/>
                <w:sz w:val="24"/>
                <w:szCs w:val="24"/>
              </w:rPr>
              <w:t>纬四路南侧、经十二路东侧</w:t>
            </w: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2022-</w:t>
            </w:r>
          </w:p>
          <w:p>
            <w:pPr>
              <w:pStyle w:val="6"/>
              <w:kinsoku w:val="0"/>
              <w:overflowPunct w:val="0"/>
              <w:spacing w:line="298" w:lineRule="exact"/>
              <w:ind w:left="283"/>
              <w:rPr>
                <w:rFonts w:hint="eastAsia"/>
                <w:color w:val="231F20"/>
                <w:sz w:val="24"/>
                <w:szCs w:val="24"/>
              </w:rPr>
            </w:pPr>
            <w:r>
              <w:rPr>
                <w:rFonts w:hint="eastAsia"/>
                <w:color w:val="231F20"/>
                <w:sz w:val="24"/>
                <w:szCs w:val="24"/>
              </w:rPr>
              <w:t>2023</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right="160"/>
              <w:jc w:val="right"/>
              <w:rPr>
                <w:rFonts w:hint="eastAsia"/>
                <w:color w:val="231F20"/>
                <w:sz w:val="24"/>
                <w:szCs w:val="24"/>
              </w:rPr>
            </w:pPr>
            <w:r>
              <w:rPr>
                <w:rFonts w:hint="eastAsia"/>
                <w:color w:val="231F20"/>
                <w:sz w:val="24"/>
                <w:szCs w:val="24"/>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15" w:hRule="atLeast"/>
        </w:trPr>
        <w:tc>
          <w:tcPr>
            <w:tcW w:w="1002"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12</w:t>
            </w:r>
          </w:p>
        </w:tc>
        <w:tc>
          <w:tcPr>
            <w:tcW w:w="89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409" w:right="22" w:hanging="360"/>
              <w:rPr>
                <w:rFonts w:hint="eastAsia"/>
                <w:color w:val="231F20"/>
                <w:sz w:val="24"/>
                <w:szCs w:val="24"/>
              </w:rPr>
            </w:pPr>
            <w:r>
              <w:rPr>
                <w:rFonts w:hint="eastAsia"/>
                <w:color w:val="231F20"/>
                <w:sz w:val="24"/>
                <w:szCs w:val="24"/>
              </w:rPr>
              <w:t>表面处理园急救分站建设项目</w:t>
            </w:r>
          </w:p>
        </w:tc>
        <w:tc>
          <w:tcPr>
            <w:tcW w:w="95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18"/>
                <w:szCs w:val="24"/>
              </w:rPr>
            </w:pPr>
          </w:p>
          <w:p>
            <w:pPr>
              <w:pStyle w:val="6"/>
              <w:kinsoku w:val="0"/>
              <w:overflowPunct w:val="0"/>
              <w:spacing w:line="225" w:lineRule="auto"/>
              <w:ind w:left="196" w:right="170"/>
              <w:jc w:val="both"/>
              <w:rPr>
                <w:rFonts w:hint="eastAsia"/>
                <w:color w:val="231F20"/>
                <w:sz w:val="24"/>
                <w:szCs w:val="24"/>
              </w:rPr>
            </w:pPr>
            <w:r>
              <w:rPr>
                <w:rFonts w:hint="eastAsia"/>
                <w:color w:val="231F20"/>
                <w:sz w:val="24"/>
                <w:szCs w:val="24"/>
              </w:rPr>
              <w:t>急救站</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秦川园区</w:t>
            </w:r>
          </w:p>
        </w:tc>
        <w:tc>
          <w:tcPr>
            <w:tcW w:w="120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125" w:right="102"/>
              <w:rPr>
                <w:rFonts w:hint="eastAsia"/>
                <w:color w:val="231F20"/>
                <w:sz w:val="24"/>
                <w:szCs w:val="24"/>
              </w:rPr>
            </w:pPr>
            <w:r>
              <w:rPr>
                <w:rFonts w:hint="eastAsia"/>
                <w:color w:val="231F20"/>
                <w:sz w:val="24"/>
                <w:szCs w:val="24"/>
              </w:rPr>
              <w:t>表面处理园区</w:t>
            </w:r>
          </w:p>
        </w:tc>
        <w:tc>
          <w:tcPr>
            <w:tcW w:w="136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305"/>
              <w:rPr>
                <w:rFonts w:hint="eastAsia"/>
                <w:color w:val="231F20"/>
                <w:sz w:val="24"/>
                <w:szCs w:val="24"/>
              </w:rPr>
            </w:pPr>
            <w:r>
              <w:rPr>
                <w:rFonts w:hint="eastAsia"/>
                <w:color w:val="231F20"/>
                <w:sz w:val="24"/>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08" w:hRule="atLeast"/>
        </w:trPr>
        <w:tc>
          <w:tcPr>
            <w:tcW w:w="1002"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13</w:t>
            </w:r>
          </w:p>
        </w:tc>
        <w:tc>
          <w:tcPr>
            <w:tcW w:w="892"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847"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289" w:right="22" w:hanging="240"/>
              <w:rPr>
                <w:rFonts w:hint="eastAsia"/>
                <w:color w:val="231F20"/>
                <w:sz w:val="24"/>
                <w:szCs w:val="24"/>
              </w:rPr>
            </w:pPr>
            <w:r>
              <w:rPr>
                <w:rFonts w:hint="eastAsia"/>
                <w:color w:val="231F20"/>
                <w:sz w:val="24"/>
                <w:szCs w:val="24"/>
              </w:rPr>
              <w:t>翠湖郡社区卫生服务站建设项目</w:t>
            </w:r>
          </w:p>
        </w:tc>
        <w:tc>
          <w:tcPr>
            <w:tcW w:w="95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0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6"/>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05"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0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86" w:line="225" w:lineRule="auto"/>
              <w:ind w:left="95" w:right="72" w:firstLine="30"/>
              <w:jc w:val="both"/>
              <w:rPr>
                <w:rFonts w:hint="eastAsia"/>
                <w:color w:val="231F20"/>
                <w:spacing w:val="-39"/>
                <w:sz w:val="24"/>
                <w:szCs w:val="24"/>
              </w:rPr>
            </w:pPr>
            <w:r>
              <w:rPr>
                <w:rFonts w:hint="eastAsia"/>
                <w:color w:val="231F20"/>
                <w:sz w:val="24"/>
                <w:szCs w:val="24"/>
              </w:rPr>
              <w:t>纬七路西侧、ES6#</w:t>
            </w:r>
            <w:r>
              <w:rPr>
                <w:rFonts w:hint="eastAsia"/>
                <w:color w:val="231F20"/>
                <w:spacing w:val="-39"/>
                <w:sz w:val="24"/>
                <w:szCs w:val="24"/>
              </w:rPr>
              <w:t xml:space="preserve"> 路</w:t>
            </w:r>
          </w:p>
          <w:p>
            <w:pPr>
              <w:pStyle w:val="6"/>
              <w:kinsoku w:val="0"/>
              <w:overflowPunct w:val="0"/>
              <w:spacing w:line="290" w:lineRule="exact"/>
              <w:ind w:left="245"/>
              <w:rPr>
                <w:rFonts w:hint="eastAsia"/>
                <w:color w:val="231F20"/>
                <w:sz w:val="24"/>
                <w:szCs w:val="24"/>
              </w:rPr>
            </w:pPr>
            <w:r>
              <w:rPr>
                <w:rFonts w:hint="eastAsia"/>
                <w:color w:val="231F20"/>
                <w:sz w:val="24"/>
                <w:szCs w:val="24"/>
              </w:rPr>
              <w:t>东侧</w:t>
            </w:r>
          </w:p>
        </w:tc>
        <w:tc>
          <w:tcPr>
            <w:tcW w:w="136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6"/>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190"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spacing w:before="2"/>
              <w:rPr>
                <w:rFonts w:hint="eastAsia" w:ascii="方正小标宋简体" w:hAnsi="方正小标宋简体" w:eastAsia="方正小标宋简体"/>
                <w:sz w:val="34"/>
                <w:szCs w:val="24"/>
              </w:rPr>
            </w:pPr>
          </w:p>
          <w:p>
            <w:pPr>
              <w:pStyle w:val="6"/>
              <w:kinsoku w:val="0"/>
              <w:overflowPunct w:val="0"/>
              <w:ind w:right="160"/>
              <w:jc w:val="right"/>
              <w:rPr>
                <w:rFonts w:hint="eastAsia"/>
                <w:color w:val="231F20"/>
                <w:sz w:val="24"/>
                <w:szCs w:val="24"/>
              </w:rPr>
            </w:pPr>
            <w:r>
              <w:rPr>
                <w:rFonts w:hint="eastAsia"/>
                <w:color w:val="231F20"/>
                <w:sz w:val="24"/>
                <w:szCs w:val="24"/>
              </w:rPr>
              <w:t>0.015</w:t>
            </w:r>
          </w:p>
        </w:tc>
      </w:tr>
    </w:tbl>
    <w:p>
      <w:pPr>
        <w:rPr>
          <w:rFonts w:hint="eastAsia" w:ascii="方正小标宋简体" w:hAnsi="方正小标宋简体" w:eastAsia="方正小标宋简体"/>
          <w:sz w:val="20"/>
          <w:szCs w:val="24"/>
        </w:rPr>
        <w:sectPr>
          <w:pgSz w:w="12250" w:h="17180"/>
          <w:pgMar w:top="1620" w:right="1480" w:bottom="1560" w:left="1480" w:header="0" w:footer="1444" w:gutter="0"/>
          <w:lnNumType w:countBy="0" w:distance="360"/>
          <w:cols w:space="720" w:num="1"/>
        </w:sectPr>
      </w:pPr>
    </w:p>
    <w:p>
      <w:pPr>
        <w:pStyle w:val="3"/>
        <w:kinsoku w:val="0"/>
        <w:overflowPunct w:val="0"/>
        <w:spacing w:before="11"/>
        <w:ind w:left="0"/>
        <w:rPr>
          <w:rFonts w:hint="eastAsia" w:ascii="方正小标宋简体" w:hAnsi="方正小标宋简体" w:eastAsia="方正小标宋简体"/>
          <w:sz w:val="18"/>
          <w:szCs w:val="24"/>
        </w:rPr>
      </w:pPr>
    </w:p>
    <w:tbl>
      <w:tblPr>
        <w:tblStyle w:val="4"/>
        <w:tblW w:w="10253"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3"/>
        <w:gridCol w:w="751"/>
        <w:gridCol w:w="1925"/>
        <w:gridCol w:w="799"/>
        <w:gridCol w:w="970"/>
        <w:gridCol w:w="1158"/>
        <w:gridCol w:w="1268"/>
        <w:gridCol w:w="1284"/>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99" w:hRule="atLeast"/>
        </w:trPr>
        <w:tc>
          <w:tcPr>
            <w:tcW w:w="783"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9" w:right="31"/>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序号</w:t>
            </w:r>
          </w:p>
        </w:tc>
        <w:tc>
          <w:tcPr>
            <w:tcW w:w="751"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right="50"/>
              <w:jc w:val="right"/>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性质</w:t>
            </w:r>
          </w:p>
        </w:tc>
        <w:tc>
          <w:tcPr>
            <w:tcW w:w="1925"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29"/>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项目名称</w:t>
            </w:r>
          </w:p>
        </w:tc>
        <w:tc>
          <w:tcPr>
            <w:tcW w:w="799"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等级</w:t>
            </w:r>
          </w:p>
        </w:tc>
        <w:tc>
          <w:tcPr>
            <w:tcW w:w="97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5"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园区</w:t>
            </w:r>
          </w:p>
        </w:tc>
        <w:tc>
          <w:tcPr>
            <w:tcW w:w="1158"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67" w:right="45"/>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床位数</w:t>
            </w:r>
          </w:p>
        </w:tc>
        <w:tc>
          <w:tcPr>
            <w:tcW w:w="1268"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245"/>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位置</w:t>
            </w:r>
          </w:p>
        </w:tc>
        <w:tc>
          <w:tcPr>
            <w:tcW w:w="1284"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3"/>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实施年限</w:t>
            </w:r>
          </w:p>
        </w:tc>
        <w:tc>
          <w:tcPr>
            <w:tcW w:w="1315"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82" w:line="182" w:lineRule="auto"/>
              <w:ind w:left="55" w:right="30" w:firstLine="69"/>
              <w:rPr>
                <w:rFonts w:hint="default" w:ascii="方正黑体简体" w:hAnsi="方正黑体简体" w:eastAsia="方正黑体简体"/>
                <w:color w:val="231F20"/>
                <w:spacing w:val="-16"/>
                <w:sz w:val="24"/>
                <w:szCs w:val="24"/>
              </w:rPr>
            </w:pPr>
            <w:r>
              <w:rPr>
                <w:rFonts w:hint="default" w:ascii="方正黑体简体" w:hAnsi="方正黑体简体" w:eastAsia="方正黑体简体"/>
                <w:color w:val="231F20"/>
                <w:sz w:val="24"/>
                <w:szCs w:val="24"/>
              </w:rPr>
              <w:t>总投资</w:t>
            </w:r>
            <w:r>
              <w:rPr>
                <w:rFonts w:hint="default" w:ascii="方正黑体简体" w:hAnsi="方正黑体简体" w:eastAsia="方正黑体简体"/>
                <w:color w:val="231F20"/>
                <w:sz w:val="24"/>
                <w:szCs w:val="24"/>
                <w:lang w:val="en-US" w:eastAsia="zh-CN"/>
              </w:rPr>
              <w:t xml:space="preserve">   </w:t>
            </w:r>
            <w:r>
              <w:rPr>
                <w:rFonts w:hint="default" w:ascii="方正黑体简体" w:hAnsi="方正黑体简体" w:eastAsia="方正黑体简体"/>
                <w:color w:val="231F20"/>
                <w:spacing w:val="-3"/>
                <w:sz w:val="24"/>
                <w:szCs w:val="24"/>
              </w:rPr>
              <w:t>( 亿元</w:t>
            </w:r>
            <w:r>
              <w:rPr>
                <w:rFonts w:hint="default" w:ascii="方正黑体简体" w:hAnsi="方正黑体简体" w:eastAsia="方正黑体简体"/>
                <w:color w:val="231F20"/>
                <w:spacing w:val="-16"/>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02"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14</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23"/>
                <w:szCs w:val="24"/>
              </w:rPr>
            </w:pPr>
          </w:p>
          <w:p>
            <w:pPr>
              <w:pStyle w:val="6"/>
              <w:kinsoku w:val="0"/>
              <w:overflowPunct w:val="0"/>
              <w:spacing w:before="1" w:line="225" w:lineRule="auto"/>
              <w:ind w:left="169" w:right="22" w:hanging="120"/>
              <w:rPr>
                <w:rFonts w:hint="eastAsia"/>
                <w:color w:val="231F20"/>
                <w:sz w:val="24"/>
                <w:szCs w:val="24"/>
              </w:rPr>
            </w:pPr>
            <w:r>
              <w:rPr>
                <w:rFonts w:hint="eastAsia"/>
                <w:color w:val="231F20"/>
                <w:sz w:val="24"/>
                <w:szCs w:val="24"/>
              </w:rPr>
              <w:t>海亮学府社区卫生服务站建设项目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23"/>
                <w:szCs w:val="24"/>
              </w:rPr>
            </w:pPr>
          </w:p>
          <w:p>
            <w:pPr>
              <w:pStyle w:val="6"/>
              <w:kinsoku w:val="0"/>
              <w:overflowPunct w:val="0"/>
              <w:spacing w:before="1" w:line="225" w:lineRule="auto"/>
              <w:ind w:left="76" w:right="50"/>
              <w:rPr>
                <w:rFonts w:hint="eastAsia"/>
                <w:color w:val="231F20"/>
                <w:sz w:val="24"/>
                <w:szCs w:val="24"/>
              </w:rPr>
            </w:pPr>
            <w:r>
              <w:rPr>
                <w:rFonts w:hint="eastAsia"/>
                <w:color w:val="231F20"/>
                <w:sz w:val="24"/>
                <w:szCs w:val="24"/>
              </w:rPr>
              <w:t>中川园区</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15" w:line="298" w:lineRule="exact"/>
              <w:ind w:left="20"/>
              <w:jc w:val="center"/>
              <w:rPr>
                <w:rFonts w:hint="eastAsia"/>
                <w:color w:val="231F20"/>
                <w:spacing w:val="-30"/>
                <w:sz w:val="24"/>
                <w:szCs w:val="24"/>
              </w:rPr>
            </w:pPr>
            <w:r>
              <w:rPr>
                <w:rFonts w:hint="eastAsia"/>
                <w:color w:val="231F20"/>
                <w:sz w:val="24"/>
                <w:szCs w:val="24"/>
              </w:rPr>
              <w:t>ES15#</w:t>
            </w:r>
            <w:r>
              <w:rPr>
                <w:rFonts w:hint="eastAsia"/>
                <w:color w:val="231F20"/>
                <w:spacing w:val="-30"/>
                <w:sz w:val="24"/>
                <w:szCs w:val="24"/>
              </w:rPr>
              <w:t xml:space="preserve"> 路</w:t>
            </w:r>
          </w:p>
          <w:p>
            <w:pPr>
              <w:pStyle w:val="6"/>
              <w:kinsoku w:val="0"/>
              <w:overflowPunct w:val="0"/>
              <w:spacing w:before="5" w:line="225" w:lineRule="auto"/>
              <w:ind w:left="23"/>
              <w:jc w:val="center"/>
              <w:rPr>
                <w:rFonts w:hint="eastAsia"/>
                <w:color w:val="231F20"/>
                <w:spacing w:val="-39"/>
                <w:sz w:val="24"/>
                <w:szCs w:val="24"/>
              </w:rPr>
            </w:pPr>
            <w:r>
              <w:rPr>
                <w:rFonts w:hint="eastAsia"/>
                <w:color w:val="231F20"/>
                <w:sz w:val="24"/>
                <w:szCs w:val="24"/>
              </w:rPr>
              <w:t>北侧、ES18#</w:t>
            </w:r>
            <w:r>
              <w:rPr>
                <w:rFonts w:hint="eastAsia"/>
                <w:color w:val="231F20"/>
                <w:spacing w:val="-39"/>
                <w:sz w:val="24"/>
                <w:szCs w:val="24"/>
              </w:rPr>
              <w:t xml:space="preserve"> 路</w:t>
            </w:r>
          </w:p>
          <w:p>
            <w:pPr>
              <w:pStyle w:val="6"/>
              <w:kinsoku w:val="0"/>
              <w:overflowPunct w:val="0"/>
              <w:spacing w:line="291" w:lineRule="exact"/>
              <w:ind w:left="122" w:right="102"/>
              <w:jc w:val="center"/>
              <w:rPr>
                <w:rFonts w:hint="eastAsia"/>
                <w:color w:val="231F20"/>
                <w:sz w:val="24"/>
                <w:szCs w:val="24"/>
              </w:rPr>
            </w:pPr>
            <w:r>
              <w:rPr>
                <w:rFonts w:hint="eastAsia"/>
                <w:color w:val="231F20"/>
                <w:sz w:val="24"/>
                <w:szCs w:val="24"/>
              </w:rPr>
              <w:t>西侧</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2024-</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02"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15</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23"/>
                <w:szCs w:val="24"/>
              </w:rPr>
            </w:pPr>
          </w:p>
          <w:p>
            <w:pPr>
              <w:pStyle w:val="6"/>
              <w:kinsoku w:val="0"/>
              <w:overflowPunct w:val="0"/>
              <w:spacing w:before="1" w:line="225" w:lineRule="auto"/>
              <w:ind w:left="169" w:right="22" w:hanging="120"/>
              <w:rPr>
                <w:rFonts w:hint="eastAsia"/>
                <w:color w:val="231F20"/>
                <w:sz w:val="24"/>
                <w:szCs w:val="24"/>
              </w:rPr>
            </w:pPr>
            <w:r>
              <w:rPr>
                <w:rFonts w:hint="eastAsia"/>
                <w:color w:val="231F20"/>
                <w:sz w:val="24"/>
                <w:szCs w:val="24"/>
              </w:rPr>
              <w:t>瑞辰玖阙社区卫生服务站建设项目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24"/>
              <w:jc w:val="center"/>
              <w:rPr>
                <w:rFonts w:hint="eastAsia"/>
                <w:color w:val="231F20"/>
                <w:sz w:val="24"/>
                <w:szCs w:val="24"/>
              </w:rPr>
            </w:pPr>
            <w:r>
              <w:rPr>
                <w:rFonts w:hint="eastAsia"/>
                <w:color w:val="231F20"/>
                <w:sz w:val="24"/>
                <w:szCs w:val="24"/>
              </w:rPr>
              <w:t>站</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23"/>
                <w:szCs w:val="24"/>
              </w:rPr>
            </w:pPr>
          </w:p>
          <w:p>
            <w:pPr>
              <w:pStyle w:val="6"/>
              <w:kinsoku w:val="0"/>
              <w:overflowPunct w:val="0"/>
              <w:spacing w:before="1" w:line="225" w:lineRule="auto"/>
              <w:ind w:left="76" w:right="50"/>
              <w:rPr>
                <w:rFonts w:hint="eastAsia"/>
                <w:color w:val="231F20"/>
                <w:sz w:val="24"/>
                <w:szCs w:val="24"/>
              </w:rPr>
            </w:pPr>
            <w:r>
              <w:rPr>
                <w:rFonts w:hint="eastAsia"/>
                <w:color w:val="231F20"/>
                <w:sz w:val="24"/>
                <w:szCs w:val="24"/>
              </w:rPr>
              <w:t>中川园区</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0" w:line="225" w:lineRule="auto"/>
              <w:ind w:left="125" w:right="102"/>
              <w:jc w:val="both"/>
              <w:rPr>
                <w:rFonts w:hint="eastAsia"/>
                <w:color w:val="231F20"/>
                <w:sz w:val="24"/>
                <w:szCs w:val="24"/>
              </w:rPr>
            </w:pPr>
            <w:r>
              <w:rPr>
                <w:rFonts w:hint="eastAsia"/>
                <w:color w:val="231F20"/>
                <w:sz w:val="24"/>
                <w:szCs w:val="24"/>
              </w:rPr>
              <w:t>纬五路北侧、经七路西侧</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2024-</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02"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16</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8"/>
              <w:rPr>
                <w:rFonts w:hint="eastAsia" w:ascii="方正小标宋简体" w:hAnsi="方正小标宋简体" w:eastAsia="方正小标宋简体"/>
                <w:sz w:val="15"/>
                <w:szCs w:val="24"/>
              </w:rPr>
            </w:pPr>
          </w:p>
          <w:p>
            <w:pPr>
              <w:pStyle w:val="6"/>
              <w:kinsoku w:val="0"/>
              <w:overflowPunct w:val="0"/>
              <w:spacing w:line="225" w:lineRule="auto"/>
              <w:ind w:left="49" w:right="22"/>
              <w:jc w:val="center"/>
              <w:rPr>
                <w:rFonts w:hint="eastAsia"/>
                <w:color w:val="231F20"/>
                <w:sz w:val="24"/>
                <w:szCs w:val="24"/>
              </w:rPr>
            </w:pPr>
            <w:r>
              <w:rPr>
                <w:rFonts w:hint="eastAsia"/>
                <w:color w:val="231F20"/>
                <w:sz w:val="24"/>
                <w:szCs w:val="24"/>
              </w:rPr>
              <w:t>皋兰县公共卫生医疗服务中心</w:t>
            </w:r>
          </w:p>
          <w:p>
            <w:pPr>
              <w:pStyle w:val="6"/>
              <w:kinsoku w:val="0"/>
              <w:overflowPunct w:val="0"/>
              <w:spacing w:line="291" w:lineRule="exact"/>
              <w:ind w:left="46" w:right="22"/>
              <w:jc w:val="center"/>
              <w:rPr>
                <w:rFonts w:hint="eastAsia"/>
                <w:color w:val="231F20"/>
                <w:sz w:val="24"/>
                <w:szCs w:val="24"/>
              </w:rPr>
            </w:pPr>
            <w:r>
              <w:rPr>
                <w:rFonts w:hint="eastAsia"/>
                <w:color w:val="231F20"/>
                <w:sz w:val="24"/>
                <w:szCs w:val="24"/>
              </w:rPr>
              <w:t>建设项目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24"/>
              <w:jc w:val="center"/>
              <w:rPr>
                <w:rFonts w:hint="eastAsia"/>
                <w:color w:val="231F20"/>
                <w:sz w:val="24"/>
                <w:szCs w:val="24"/>
              </w:rPr>
            </w:pPr>
            <w:r>
              <w:rPr>
                <w:rFonts w:hint="eastAsia"/>
                <w:color w:val="231F20"/>
                <w:sz w:val="24"/>
                <w:szCs w:val="24"/>
              </w:rPr>
              <w:t>/</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55" w:right="32"/>
              <w:jc w:val="center"/>
              <w:rPr>
                <w:rFonts w:hint="eastAsia"/>
                <w:color w:val="231F20"/>
                <w:sz w:val="24"/>
                <w:szCs w:val="24"/>
              </w:rPr>
            </w:pPr>
            <w:r>
              <w:rPr>
                <w:rFonts w:hint="eastAsia"/>
                <w:color w:val="231F20"/>
                <w:sz w:val="24"/>
                <w:szCs w:val="24"/>
              </w:rPr>
              <w:t>皋兰</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204</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23"/>
                <w:szCs w:val="24"/>
              </w:rPr>
            </w:pPr>
          </w:p>
          <w:p>
            <w:pPr>
              <w:pStyle w:val="6"/>
              <w:kinsoku w:val="0"/>
              <w:overflowPunct w:val="0"/>
              <w:spacing w:before="1" w:line="225" w:lineRule="auto"/>
              <w:ind w:left="125" w:right="102"/>
              <w:rPr>
                <w:rFonts w:hint="eastAsia"/>
                <w:color w:val="231F20"/>
                <w:sz w:val="24"/>
                <w:szCs w:val="24"/>
              </w:rPr>
            </w:pPr>
            <w:r>
              <w:rPr>
                <w:rFonts w:hint="eastAsia"/>
                <w:color w:val="231F20"/>
                <w:sz w:val="24"/>
                <w:szCs w:val="24"/>
              </w:rPr>
              <w:t>皋兰县三川口</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2022-</w:t>
            </w:r>
          </w:p>
          <w:p>
            <w:pPr>
              <w:pStyle w:val="6"/>
              <w:kinsoku w:val="0"/>
              <w:overflowPunct w:val="0"/>
              <w:spacing w:line="298" w:lineRule="exact"/>
              <w:ind w:left="283"/>
              <w:rPr>
                <w:rFonts w:hint="eastAsia"/>
                <w:color w:val="231F20"/>
                <w:sz w:val="24"/>
                <w:szCs w:val="24"/>
              </w:rPr>
            </w:pPr>
            <w:r>
              <w:rPr>
                <w:rFonts w:hint="eastAsia"/>
                <w:color w:val="231F20"/>
                <w:sz w:val="24"/>
                <w:szCs w:val="24"/>
              </w:rPr>
              <w:t>2023</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18"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17</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2" w:line="225" w:lineRule="auto"/>
              <w:ind w:left="49" w:right="22"/>
              <w:jc w:val="center"/>
              <w:rPr>
                <w:rFonts w:hint="eastAsia"/>
                <w:color w:val="231F20"/>
                <w:sz w:val="24"/>
                <w:szCs w:val="24"/>
              </w:rPr>
            </w:pPr>
            <w:r>
              <w:rPr>
                <w:rFonts w:hint="eastAsia"/>
                <w:color w:val="231F20"/>
                <w:sz w:val="24"/>
                <w:szCs w:val="24"/>
              </w:rPr>
              <w:t>皋兰县中医医院新建住院医技综合楼项目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24"/>
              <w:jc w:val="center"/>
              <w:rPr>
                <w:rFonts w:hint="eastAsia"/>
                <w:color w:val="231F20"/>
                <w:sz w:val="24"/>
                <w:szCs w:val="24"/>
              </w:rPr>
            </w:pPr>
            <w:r>
              <w:rPr>
                <w:rFonts w:hint="eastAsia"/>
                <w:color w:val="231F20"/>
                <w:sz w:val="24"/>
                <w:szCs w:val="24"/>
              </w:rPr>
              <w:t>/</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55" w:right="32"/>
              <w:jc w:val="center"/>
              <w:rPr>
                <w:rFonts w:hint="eastAsia"/>
                <w:color w:val="231F20"/>
                <w:sz w:val="24"/>
                <w:szCs w:val="24"/>
              </w:rPr>
            </w:pPr>
            <w:r>
              <w:rPr>
                <w:rFonts w:hint="eastAsia"/>
                <w:color w:val="231F20"/>
                <w:sz w:val="24"/>
                <w:szCs w:val="24"/>
              </w:rPr>
              <w:t>皋兰</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500</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2" w:line="225" w:lineRule="auto"/>
              <w:ind w:left="125" w:right="102"/>
              <w:jc w:val="both"/>
              <w:rPr>
                <w:rFonts w:hint="eastAsia"/>
                <w:color w:val="231F20"/>
                <w:sz w:val="24"/>
                <w:szCs w:val="24"/>
              </w:rPr>
            </w:pPr>
            <w:r>
              <w:rPr>
                <w:rFonts w:hint="eastAsia"/>
                <w:color w:val="231F20"/>
                <w:sz w:val="24"/>
                <w:szCs w:val="24"/>
              </w:rPr>
              <w:t>皋兰县中医院院内</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spacing w:before="1" w:line="298" w:lineRule="exact"/>
              <w:ind w:left="223"/>
              <w:rPr>
                <w:rFonts w:hint="eastAsia"/>
                <w:color w:val="231F20"/>
                <w:sz w:val="24"/>
                <w:szCs w:val="24"/>
              </w:rPr>
            </w:pPr>
            <w:r>
              <w:rPr>
                <w:rFonts w:hint="eastAsia"/>
                <w:color w:val="231F20"/>
                <w:sz w:val="24"/>
                <w:szCs w:val="24"/>
              </w:rPr>
              <w:t>2022-</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59"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2"/>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18</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2"/>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3"/>
              <w:rPr>
                <w:rFonts w:hint="eastAsia" w:ascii="方正小标宋简体" w:hAnsi="方正小标宋简体" w:eastAsia="方正小标宋简体"/>
                <w:sz w:val="25"/>
                <w:szCs w:val="24"/>
              </w:rPr>
            </w:pPr>
          </w:p>
          <w:p>
            <w:pPr>
              <w:pStyle w:val="6"/>
              <w:kinsoku w:val="0"/>
              <w:overflowPunct w:val="0"/>
              <w:spacing w:line="225" w:lineRule="auto"/>
              <w:ind w:left="49" w:right="22"/>
              <w:rPr>
                <w:rFonts w:hint="eastAsia"/>
                <w:color w:val="231F20"/>
                <w:sz w:val="24"/>
                <w:szCs w:val="24"/>
              </w:rPr>
            </w:pPr>
            <w:r>
              <w:rPr>
                <w:rFonts w:hint="eastAsia"/>
                <w:color w:val="231F20"/>
                <w:sz w:val="24"/>
                <w:szCs w:val="24"/>
              </w:rPr>
              <w:t>皋兰县人民医院立体停车场建设项目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2"/>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二级</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2"/>
                <w:szCs w:val="24"/>
              </w:rPr>
            </w:pPr>
          </w:p>
          <w:p>
            <w:pPr>
              <w:pStyle w:val="6"/>
              <w:kinsoku w:val="0"/>
              <w:overflowPunct w:val="0"/>
              <w:ind w:left="55" w:right="32"/>
              <w:jc w:val="center"/>
              <w:rPr>
                <w:rFonts w:hint="eastAsia"/>
                <w:color w:val="231F20"/>
                <w:sz w:val="24"/>
                <w:szCs w:val="24"/>
              </w:rPr>
            </w:pPr>
            <w:r>
              <w:rPr>
                <w:rFonts w:hint="eastAsia"/>
                <w:color w:val="231F20"/>
                <w:sz w:val="24"/>
                <w:szCs w:val="24"/>
              </w:rPr>
              <w:t>皋兰</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2"/>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
              <w:rPr>
                <w:rFonts w:hint="eastAsia" w:ascii="方正小标宋简体" w:hAnsi="方正小标宋简体" w:eastAsia="方正小标宋简体"/>
                <w:sz w:val="17"/>
                <w:szCs w:val="24"/>
              </w:rPr>
            </w:pPr>
          </w:p>
          <w:p>
            <w:pPr>
              <w:pStyle w:val="6"/>
              <w:kinsoku w:val="0"/>
              <w:overflowPunct w:val="0"/>
              <w:spacing w:line="225" w:lineRule="auto"/>
              <w:ind w:left="125" w:right="102"/>
              <w:jc w:val="both"/>
              <w:rPr>
                <w:rFonts w:hint="eastAsia"/>
                <w:color w:val="231F20"/>
                <w:sz w:val="24"/>
                <w:szCs w:val="24"/>
              </w:rPr>
            </w:pPr>
            <w:r>
              <w:rPr>
                <w:rFonts w:hint="eastAsia"/>
                <w:color w:val="231F20"/>
                <w:sz w:val="24"/>
                <w:szCs w:val="24"/>
              </w:rPr>
              <w:t>皋兰县人民医院院内</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7"/>
              <w:rPr>
                <w:rFonts w:hint="eastAsia" w:ascii="方正小标宋简体" w:hAnsi="方正小标宋简体" w:eastAsia="方正小标宋简体"/>
                <w:sz w:val="24"/>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9"/>
              <w:rPr>
                <w:rFonts w:hint="eastAsia" w:ascii="方正小标宋简体" w:hAnsi="方正小标宋简体" w:eastAsia="方正小标宋简体"/>
                <w:sz w:val="32"/>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02"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19</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8"/>
              <w:rPr>
                <w:rFonts w:hint="eastAsia" w:ascii="方正小标宋简体" w:hAnsi="方正小标宋简体" w:eastAsia="方正小标宋简体"/>
                <w:sz w:val="15"/>
                <w:szCs w:val="24"/>
              </w:rPr>
            </w:pPr>
          </w:p>
          <w:p>
            <w:pPr>
              <w:pStyle w:val="6"/>
              <w:kinsoku w:val="0"/>
              <w:overflowPunct w:val="0"/>
              <w:spacing w:line="225" w:lineRule="auto"/>
              <w:ind w:left="49" w:right="22"/>
              <w:jc w:val="center"/>
              <w:rPr>
                <w:rFonts w:hint="eastAsia"/>
                <w:color w:val="231F20"/>
                <w:sz w:val="24"/>
                <w:szCs w:val="24"/>
              </w:rPr>
            </w:pPr>
            <w:r>
              <w:rPr>
                <w:rFonts w:hint="eastAsia"/>
                <w:color w:val="231F20"/>
                <w:sz w:val="24"/>
                <w:szCs w:val="24"/>
              </w:rPr>
              <w:t>皋兰县妇幼保健院群体保健楼及辅助设施建设项目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一级</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55" w:right="32"/>
              <w:jc w:val="center"/>
              <w:rPr>
                <w:rFonts w:hint="eastAsia"/>
                <w:color w:val="231F20"/>
                <w:sz w:val="24"/>
                <w:szCs w:val="24"/>
              </w:rPr>
            </w:pPr>
            <w:r>
              <w:rPr>
                <w:rFonts w:hint="eastAsia"/>
                <w:color w:val="231F20"/>
                <w:sz w:val="24"/>
                <w:szCs w:val="24"/>
              </w:rPr>
              <w:t>皋兰</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8"/>
              <w:rPr>
                <w:rFonts w:hint="eastAsia" w:ascii="方正小标宋简体" w:hAnsi="方正小标宋简体" w:eastAsia="方正小标宋简体"/>
                <w:sz w:val="15"/>
                <w:szCs w:val="24"/>
              </w:rPr>
            </w:pPr>
          </w:p>
          <w:p>
            <w:pPr>
              <w:pStyle w:val="6"/>
              <w:kinsoku w:val="0"/>
              <w:overflowPunct w:val="0"/>
              <w:spacing w:line="225" w:lineRule="auto"/>
              <w:ind w:left="125" w:right="102"/>
              <w:jc w:val="center"/>
              <w:rPr>
                <w:rFonts w:hint="eastAsia"/>
                <w:color w:val="231F20"/>
                <w:sz w:val="24"/>
                <w:szCs w:val="24"/>
              </w:rPr>
            </w:pPr>
            <w:r>
              <w:rPr>
                <w:rFonts w:hint="eastAsia"/>
                <w:color w:val="231F20"/>
                <w:sz w:val="24"/>
                <w:szCs w:val="24"/>
              </w:rPr>
              <w:t>皋兰县魏家庄村</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33"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31"/>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20</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31"/>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8"/>
              <w:rPr>
                <w:rFonts w:hint="eastAsia" w:ascii="方正小标宋简体" w:hAnsi="方正小标宋简体" w:eastAsia="方正小标宋简体"/>
                <w:sz w:val="24"/>
                <w:szCs w:val="24"/>
              </w:rPr>
            </w:pPr>
          </w:p>
          <w:p>
            <w:pPr>
              <w:pStyle w:val="6"/>
              <w:kinsoku w:val="0"/>
              <w:overflowPunct w:val="0"/>
              <w:spacing w:before="1" w:line="225" w:lineRule="auto"/>
              <w:ind w:left="169" w:right="22" w:hanging="120"/>
              <w:rPr>
                <w:rFonts w:hint="eastAsia"/>
                <w:color w:val="231F20"/>
                <w:sz w:val="24"/>
                <w:szCs w:val="24"/>
              </w:rPr>
            </w:pPr>
            <w:r>
              <w:rPr>
                <w:rFonts w:hint="eastAsia"/>
                <w:color w:val="231F20"/>
                <w:spacing w:val="-20"/>
                <w:sz w:val="24"/>
                <w:szCs w:val="24"/>
              </w:rPr>
              <w:t xml:space="preserve">托管 </w:t>
            </w:r>
            <w:r>
              <w:rPr>
                <w:rFonts w:hint="eastAsia"/>
                <w:color w:val="231F20"/>
                <w:sz w:val="24"/>
                <w:szCs w:val="24"/>
              </w:rPr>
              <w:t>5</w:t>
            </w:r>
            <w:r>
              <w:rPr>
                <w:rFonts w:hint="eastAsia"/>
                <w:color w:val="231F20"/>
                <w:spacing w:val="-13"/>
                <w:sz w:val="24"/>
                <w:szCs w:val="24"/>
              </w:rPr>
              <w:t xml:space="preserve"> 镇卫生院提</w:t>
            </w:r>
            <w:r>
              <w:rPr>
                <w:rFonts w:hint="eastAsia"/>
                <w:color w:val="231F20"/>
                <w:sz w:val="24"/>
                <w:szCs w:val="24"/>
              </w:rPr>
              <w:t>标扩能建设项目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31"/>
                <w:szCs w:val="24"/>
              </w:rPr>
            </w:pPr>
          </w:p>
          <w:p>
            <w:pPr>
              <w:pStyle w:val="6"/>
              <w:kinsoku w:val="0"/>
              <w:overflowPunct w:val="0"/>
              <w:ind w:left="24"/>
              <w:jc w:val="center"/>
              <w:rPr>
                <w:rFonts w:hint="eastAsia"/>
                <w:color w:val="231F20"/>
                <w:sz w:val="24"/>
                <w:szCs w:val="24"/>
              </w:rPr>
            </w:pPr>
            <w:r>
              <w:rPr>
                <w:rFonts w:hint="eastAsia"/>
                <w:color w:val="231F20"/>
                <w:sz w:val="24"/>
                <w:szCs w:val="24"/>
              </w:rPr>
              <w:t>/</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8"/>
              <w:rPr>
                <w:rFonts w:hint="eastAsia" w:ascii="方正小标宋简体" w:hAnsi="方正小标宋简体" w:eastAsia="方正小标宋简体"/>
                <w:sz w:val="24"/>
                <w:szCs w:val="24"/>
              </w:rPr>
            </w:pPr>
          </w:p>
          <w:p>
            <w:pPr>
              <w:pStyle w:val="6"/>
              <w:kinsoku w:val="0"/>
              <w:overflowPunct w:val="0"/>
              <w:spacing w:before="1" w:line="225" w:lineRule="auto"/>
              <w:ind w:left="106" w:right="20" w:hanging="30"/>
              <w:rPr>
                <w:rFonts w:hint="eastAsia"/>
                <w:color w:val="231F20"/>
                <w:spacing w:val="-60"/>
                <w:sz w:val="24"/>
                <w:szCs w:val="24"/>
              </w:rPr>
            </w:pPr>
            <w:r>
              <w:rPr>
                <w:rFonts w:hint="eastAsia"/>
                <w:color w:val="231F20"/>
                <w:sz w:val="24"/>
                <w:szCs w:val="24"/>
              </w:rPr>
              <w:t>托管</w:t>
            </w:r>
            <w:r>
              <w:rPr>
                <w:rFonts w:hint="eastAsia"/>
                <w:color w:val="231F20"/>
                <w:spacing w:val="60"/>
                <w:sz w:val="24"/>
                <w:szCs w:val="24"/>
              </w:rPr>
              <w:t>5</w:t>
            </w:r>
            <w:r>
              <w:rPr>
                <w:rFonts w:hint="eastAsia"/>
                <w:color w:val="231F20"/>
                <w:sz w:val="24"/>
                <w:szCs w:val="24"/>
              </w:rPr>
              <w:t>镇</w:t>
            </w:r>
            <w:r>
              <w:rPr>
                <w:rFonts w:hint="eastAsia"/>
                <w:color w:val="231F20"/>
                <w:spacing w:val="-60"/>
                <w:sz w:val="24"/>
                <w:szCs w:val="24"/>
              </w:rPr>
              <w:t xml:space="preserve"> </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31"/>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 w:line="225" w:lineRule="auto"/>
              <w:ind w:left="125" w:right="102"/>
              <w:jc w:val="both"/>
              <w:rPr>
                <w:rFonts w:hint="eastAsia"/>
                <w:color w:val="231F20"/>
                <w:spacing w:val="-6"/>
                <w:sz w:val="24"/>
                <w:szCs w:val="24"/>
              </w:rPr>
            </w:pPr>
            <w:r>
              <w:rPr>
                <w:rFonts w:hint="eastAsia"/>
                <w:color w:val="231F20"/>
                <w:spacing w:val="-6"/>
                <w:sz w:val="24"/>
                <w:szCs w:val="24"/>
              </w:rPr>
              <w:t>上川、黑石、石洞、水阜、</w:t>
            </w:r>
          </w:p>
          <w:p>
            <w:pPr>
              <w:pStyle w:val="6"/>
              <w:kinsoku w:val="0"/>
              <w:overflowPunct w:val="0"/>
              <w:spacing w:line="256" w:lineRule="exact"/>
              <w:ind w:left="245"/>
              <w:rPr>
                <w:rFonts w:hint="eastAsia"/>
                <w:color w:val="231F20"/>
                <w:sz w:val="24"/>
                <w:szCs w:val="24"/>
              </w:rPr>
            </w:pPr>
            <w:r>
              <w:rPr>
                <w:rFonts w:hint="eastAsia"/>
                <w:color w:val="231F20"/>
                <w:sz w:val="24"/>
                <w:szCs w:val="24"/>
              </w:rPr>
              <w:t>什川</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23"/>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31"/>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18" w:hRule="atLeast"/>
        </w:trPr>
        <w:tc>
          <w:tcPr>
            <w:tcW w:w="783"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21</w:t>
            </w:r>
          </w:p>
        </w:tc>
        <w:tc>
          <w:tcPr>
            <w:tcW w:w="751"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2" w:line="225" w:lineRule="auto"/>
              <w:ind w:left="49" w:right="22"/>
              <w:jc w:val="center"/>
              <w:rPr>
                <w:rFonts w:hint="eastAsia"/>
                <w:color w:val="231F20"/>
                <w:sz w:val="24"/>
                <w:szCs w:val="24"/>
              </w:rPr>
            </w:pPr>
            <w:r>
              <w:rPr>
                <w:rFonts w:hint="eastAsia"/>
                <w:color w:val="231F20"/>
                <w:sz w:val="24"/>
                <w:szCs w:val="24"/>
              </w:rPr>
              <w:t>皋兰县妇幼保健院后勤保障楼</w:t>
            </w:r>
          </w:p>
          <w:p>
            <w:pPr>
              <w:pStyle w:val="6"/>
              <w:kinsoku w:val="0"/>
              <w:overflowPunct w:val="0"/>
              <w:spacing w:line="291" w:lineRule="exact"/>
              <w:ind w:left="46" w:right="22"/>
              <w:jc w:val="center"/>
              <w:rPr>
                <w:rFonts w:hint="eastAsia"/>
                <w:color w:val="231F20"/>
                <w:sz w:val="24"/>
                <w:szCs w:val="24"/>
              </w:rPr>
            </w:pPr>
            <w:r>
              <w:rPr>
                <w:rFonts w:hint="eastAsia"/>
                <w:color w:val="231F20"/>
                <w:sz w:val="24"/>
                <w:szCs w:val="24"/>
              </w:rPr>
              <w:t>建设项目</w:t>
            </w:r>
          </w:p>
        </w:tc>
        <w:tc>
          <w:tcPr>
            <w:tcW w:w="79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一级</w:t>
            </w:r>
          </w:p>
        </w:tc>
        <w:tc>
          <w:tcPr>
            <w:tcW w:w="97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55" w:right="32"/>
              <w:jc w:val="center"/>
              <w:rPr>
                <w:rFonts w:hint="eastAsia"/>
                <w:color w:val="231F20"/>
                <w:sz w:val="24"/>
                <w:szCs w:val="24"/>
              </w:rPr>
            </w:pPr>
            <w:r>
              <w:rPr>
                <w:rFonts w:hint="eastAsia"/>
                <w:color w:val="231F20"/>
                <w:sz w:val="24"/>
                <w:szCs w:val="24"/>
              </w:rPr>
              <w:t>皋兰</w:t>
            </w:r>
          </w:p>
        </w:tc>
        <w:tc>
          <w:tcPr>
            <w:tcW w:w="115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6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2" w:line="225" w:lineRule="auto"/>
              <w:ind w:left="125" w:right="102"/>
              <w:jc w:val="center"/>
              <w:rPr>
                <w:rFonts w:hint="eastAsia"/>
                <w:color w:val="231F20"/>
                <w:sz w:val="24"/>
                <w:szCs w:val="24"/>
              </w:rPr>
            </w:pPr>
            <w:r>
              <w:rPr>
                <w:rFonts w:hint="eastAsia"/>
                <w:color w:val="231F20"/>
                <w:sz w:val="24"/>
                <w:szCs w:val="24"/>
              </w:rPr>
              <w:t>皋兰县魏家庄村</w:t>
            </w:r>
          </w:p>
        </w:tc>
        <w:tc>
          <w:tcPr>
            <w:tcW w:w="128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spacing w:before="1" w:line="298" w:lineRule="exact"/>
              <w:ind w:left="223"/>
              <w:rPr>
                <w:rFonts w:hint="eastAsia"/>
                <w:color w:val="231F20"/>
                <w:sz w:val="24"/>
                <w:szCs w:val="24"/>
              </w:rPr>
            </w:pPr>
            <w:r>
              <w:rPr>
                <w:rFonts w:hint="eastAsia"/>
                <w:color w:val="231F20"/>
                <w:sz w:val="24"/>
                <w:szCs w:val="24"/>
              </w:rPr>
              <w:t>2024-</w:t>
            </w:r>
          </w:p>
          <w:p>
            <w:pPr>
              <w:pStyle w:val="6"/>
              <w:kinsoku w:val="0"/>
              <w:overflowPunct w:val="0"/>
              <w:spacing w:line="298" w:lineRule="exact"/>
              <w:ind w:left="283"/>
              <w:rPr>
                <w:rFonts w:hint="eastAsia"/>
                <w:color w:val="231F20"/>
                <w:sz w:val="24"/>
                <w:szCs w:val="24"/>
              </w:rPr>
            </w:pPr>
            <w:r>
              <w:rPr>
                <w:rFonts w:hint="eastAsia"/>
                <w:color w:val="231F20"/>
                <w:sz w:val="24"/>
                <w:szCs w:val="24"/>
              </w:rPr>
              <w:t>2024</w:t>
            </w:r>
          </w:p>
        </w:tc>
        <w:tc>
          <w:tcPr>
            <w:tcW w:w="1315"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22"/>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94" w:hRule="atLeast"/>
        </w:trPr>
        <w:tc>
          <w:tcPr>
            <w:tcW w:w="783"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49" w:right="31"/>
              <w:jc w:val="center"/>
              <w:rPr>
                <w:rFonts w:hint="eastAsia"/>
                <w:color w:val="231F20"/>
                <w:sz w:val="24"/>
                <w:szCs w:val="24"/>
              </w:rPr>
            </w:pPr>
            <w:r>
              <w:rPr>
                <w:rFonts w:hint="eastAsia"/>
                <w:color w:val="231F20"/>
                <w:sz w:val="24"/>
                <w:szCs w:val="24"/>
              </w:rPr>
              <w:t>22</w:t>
            </w:r>
          </w:p>
        </w:tc>
        <w:tc>
          <w:tcPr>
            <w:tcW w:w="751"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right="50"/>
              <w:jc w:val="right"/>
              <w:rPr>
                <w:rFonts w:hint="eastAsia"/>
                <w:color w:val="231F20"/>
                <w:sz w:val="24"/>
                <w:szCs w:val="24"/>
              </w:rPr>
            </w:pPr>
            <w:r>
              <w:rPr>
                <w:rFonts w:hint="eastAsia"/>
                <w:color w:val="231F20"/>
                <w:sz w:val="24"/>
                <w:szCs w:val="24"/>
              </w:rPr>
              <w:t>新建</w:t>
            </w:r>
          </w:p>
        </w:tc>
        <w:tc>
          <w:tcPr>
            <w:tcW w:w="1925"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23"/>
                <w:szCs w:val="24"/>
              </w:rPr>
            </w:pPr>
          </w:p>
          <w:p>
            <w:pPr>
              <w:pStyle w:val="6"/>
              <w:kinsoku w:val="0"/>
              <w:overflowPunct w:val="0"/>
              <w:spacing w:before="1" w:line="225" w:lineRule="auto"/>
              <w:ind w:left="49" w:right="22"/>
              <w:rPr>
                <w:rFonts w:hint="eastAsia"/>
                <w:color w:val="231F20"/>
                <w:sz w:val="24"/>
                <w:szCs w:val="24"/>
              </w:rPr>
            </w:pPr>
            <w:r>
              <w:rPr>
                <w:rFonts w:hint="eastAsia"/>
                <w:color w:val="231F20"/>
                <w:sz w:val="24"/>
                <w:szCs w:val="24"/>
              </w:rPr>
              <w:t>皋兰县人民医院康养综合楼建设项目</w:t>
            </w:r>
          </w:p>
        </w:tc>
        <w:tc>
          <w:tcPr>
            <w:tcW w:w="799"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二级</w:t>
            </w:r>
          </w:p>
        </w:tc>
        <w:tc>
          <w:tcPr>
            <w:tcW w:w="97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55" w:right="32"/>
              <w:jc w:val="center"/>
              <w:rPr>
                <w:rFonts w:hint="eastAsia"/>
                <w:color w:val="231F20"/>
                <w:sz w:val="24"/>
                <w:szCs w:val="24"/>
              </w:rPr>
            </w:pPr>
            <w:r>
              <w:rPr>
                <w:rFonts w:hint="eastAsia"/>
                <w:color w:val="231F20"/>
                <w:sz w:val="24"/>
                <w:szCs w:val="24"/>
              </w:rPr>
              <w:t>皋兰</w:t>
            </w:r>
          </w:p>
        </w:tc>
        <w:tc>
          <w:tcPr>
            <w:tcW w:w="115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22"/>
              <w:jc w:val="center"/>
              <w:rPr>
                <w:rFonts w:hint="eastAsia"/>
                <w:color w:val="231F20"/>
                <w:sz w:val="24"/>
                <w:szCs w:val="24"/>
              </w:rPr>
            </w:pPr>
            <w:r>
              <w:rPr>
                <w:rFonts w:hint="eastAsia"/>
                <w:color w:val="231F20"/>
                <w:sz w:val="24"/>
                <w:szCs w:val="24"/>
              </w:rPr>
              <w:t>/</w:t>
            </w:r>
          </w:p>
        </w:tc>
        <w:tc>
          <w:tcPr>
            <w:tcW w:w="126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8"/>
              <w:rPr>
                <w:rFonts w:hint="eastAsia" w:ascii="方正小标宋简体" w:hAnsi="方正小标宋简体" w:eastAsia="方正小标宋简体"/>
                <w:sz w:val="15"/>
                <w:szCs w:val="24"/>
              </w:rPr>
            </w:pPr>
          </w:p>
          <w:p>
            <w:pPr>
              <w:pStyle w:val="6"/>
              <w:kinsoku w:val="0"/>
              <w:overflowPunct w:val="0"/>
              <w:spacing w:line="225" w:lineRule="auto"/>
              <w:ind w:left="125" w:right="102"/>
              <w:jc w:val="both"/>
              <w:rPr>
                <w:rFonts w:hint="eastAsia"/>
                <w:color w:val="231F20"/>
                <w:sz w:val="24"/>
                <w:szCs w:val="24"/>
              </w:rPr>
            </w:pPr>
            <w:r>
              <w:rPr>
                <w:rFonts w:hint="eastAsia"/>
                <w:color w:val="231F20"/>
                <w:sz w:val="24"/>
                <w:szCs w:val="24"/>
              </w:rPr>
              <w:t>皋兰县人民医院院内</w:t>
            </w:r>
          </w:p>
        </w:tc>
        <w:tc>
          <w:tcPr>
            <w:tcW w:w="128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4"/>
              <w:rPr>
                <w:rFonts w:hint="eastAsia" w:ascii="方正小标宋简体" w:hAnsi="方正小标宋简体" w:eastAsia="方正小标宋简体"/>
                <w:sz w:val="22"/>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2024-</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315"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spacing w:before="16"/>
              <w:rPr>
                <w:rFonts w:hint="eastAsia" w:ascii="方正小标宋简体" w:hAnsi="方正小标宋简体" w:eastAsia="方正小标宋简体"/>
                <w:sz w:val="30"/>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0.5</w:t>
            </w:r>
          </w:p>
        </w:tc>
      </w:tr>
    </w:tbl>
    <w:p>
      <w:pPr>
        <w:rPr>
          <w:rFonts w:hint="eastAsia" w:ascii="方正小标宋简体" w:hAnsi="方正小标宋简体" w:eastAsia="方正小标宋简体"/>
          <w:sz w:val="18"/>
          <w:szCs w:val="24"/>
        </w:rPr>
        <w:sectPr>
          <w:pgSz w:w="12250" w:h="17180"/>
          <w:pgMar w:top="1620" w:right="1480" w:bottom="1560" w:left="1480" w:header="0" w:footer="1444" w:gutter="0"/>
          <w:lnNumType w:countBy="0" w:distance="360"/>
          <w:cols w:space="720" w:num="1"/>
        </w:sectPr>
      </w:pPr>
    </w:p>
    <w:p>
      <w:pPr>
        <w:pStyle w:val="3"/>
        <w:kinsoku w:val="0"/>
        <w:overflowPunct w:val="0"/>
        <w:spacing w:before="1"/>
        <w:ind w:left="0"/>
        <w:rPr>
          <w:rFonts w:hint="eastAsia" w:ascii="方正小标宋简体" w:hAnsi="方正小标宋简体" w:eastAsia="方正小标宋简体"/>
          <w:sz w:val="13"/>
          <w:szCs w:val="24"/>
        </w:rPr>
      </w:pPr>
    </w:p>
    <w:p>
      <w:pPr>
        <w:pStyle w:val="3"/>
        <w:kinsoku w:val="0"/>
        <w:overflowPunct w:val="0"/>
        <w:spacing w:before="28"/>
        <w:rPr>
          <w:rFonts w:hint="default" w:ascii="方正黑体简体" w:hAnsi="方正黑体简体" w:eastAsia="方正黑体简体"/>
          <w:color w:val="231F20"/>
          <w:sz w:val="32"/>
          <w:szCs w:val="24"/>
        </w:rPr>
      </w:pPr>
      <w:r>
        <w:rPr>
          <w:rFonts w:hint="default" w:ascii="方正黑体简体" w:hAnsi="方正黑体简体" w:eastAsia="方正黑体简体"/>
          <w:color w:val="231F20"/>
          <w:sz w:val="32"/>
          <w:szCs w:val="24"/>
        </w:rPr>
        <w:t>附件 1-3</w:t>
      </w:r>
    </w:p>
    <w:p>
      <w:pPr>
        <w:pStyle w:val="3"/>
        <w:kinsoku w:val="0"/>
        <w:overflowPunct w:val="0"/>
        <w:spacing w:before="1"/>
        <w:ind w:left="0"/>
        <w:rPr>
          <w:rFonts w:hint="default" w:ascii="方正黑体简体" w:hAnsi="方正黑体简体" w:eastAsia="方正黑体简体"/>
          <w:sz w:val="36"/>
          <w:szCs w:val="24"/>
        </w:rPr>
      </w:pPr>
    </w:p>
    <w:p>
      <w:pPr>
        <w:pStyle w:val="2"/>
        <w:kinsoku w:val="0"/>
        <w:overflowPunct w:val="0"/>
        <w:spacing w:after="6"/>
        <w:ind w:left="277"/>
        <w:jc w:val="left"/>
        <w:rPr>
          <w:rFonts w:hint="eastAsia"/>
          <w:color w:val="231F20"/>
          <w:w w:val="75"/>
          <w:sz w:val="40"/>
          <w:szCs w:val="24"/>
        </w:rPr>
      </w:pPr>
      <w:r>
        <w:rPr>
          <w:rFonts w:hint="eastAsia"/>
          <w:color w:val="231F20"/>
          <w:w w:val="75"/>
          <w:sz w:val="40"/>
          <w:szCs w:val="24"/>
        </w:rPr>
        <w:t>兰州新区“十四五”卫生健康事业发展规划外来投资重点项目表</w:t>
      </w:r>
    </w:p>
    <w:tbl>
      <w:tblPr>
        <w:tblStyle w:val="4"/>
        <w:tblW w:w="10049" w:type="dxa"/>
        <w:tblInd w:w="-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8"/>
        <w:gridCol w:w="908"/>
        <w:gridCol w:w="1753"/>
        <w:gridCol w:w="814"/>
        <w:gridCol w:w="822"/>
        <w:gridCol w:w="1248"/>
        <w:gridCol w:w="1186"/>
        <w:gridCol w:w="1330"/>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99" w:hRule="atLeast"/>
        </w:trPr>
        <w:tc>
          <w:tcPr>
            <w:tcW w:w="798" w:type="dxa"/>
            <w:tcBorders>
              <w:top w:val="single" w:color="000000" w:sz="12"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9" w:right="31"/>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序号</w:t>
            </w:r>
          </w:p>
        </w:tc>
        <w:tc>
          <w:tcPr>
            <w:tcW w:w="908"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6" w:right="32"/>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性质</w:t>
            </w:r>
          </w:p>
        </w:tc>
        <w:tc>
          <w:tcPr>
            <w:tcW w:w="1753"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529"/>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项目名称</w:t>
            </w:r>
          </w:p>
        </w:tc>
        <w:tc>
          <w:tcPr>
            <w:tcW w:w="814"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right="50"/>
              <w:jc w:val="right"/>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等级</w:t>
            </w:r>
          </w:p>
        </w:tc>
        <w:tc>
          <w:tcPr>
            <w:tcW w:w="822"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76"/>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园区</w:t>
            </w:r>
          </w:p>
        </w:tc>
        <w:tc>
          <w:tcPr>
            <w:tcW w:w="1248"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67" w:right="45"/>
              <w:jc w:val="center"/>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床位数</w:t>
            </w:r>
          </w:p>
        </w:tc>
        <w:tc>
          <w:tcPr>
            <w:tcW w:w="1186"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245"/>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位置</w:t>
            </w:r>
          </w:p>
        </w:tc>
        <w:tc>
          <w:tcPr>
            <w:tcW w:w="1330" w:type="dxa"/>
            <w:tcBorders>
              <w:top w:val="single" w:color="000000" w:sz="12"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3"/>
              <w:rPr>
                <w:rFonts w:hint="eastAsia" w:ascii="方正小标宋简体" w:hAnsi="方正小标宋简体" w:eastAsia="方正小标宋简体"/>
                <w:sz w:val="14"/>
                <w:szCs w:val="24"/>
              </w:rPr>
            </w:pPr>
          </w:p>
          <w:p>
            <w:pPr>
              <w:pStyle w:val="6"/>
              <w:kinsoku w:val="0"/>
              <w:overflowPunct w:val="0"/>
              <w:ind w:left="43"/>
              <w:rPr>
                <w:rFonts w:hint="default" w:ascii="方正黑体简体" w:hAnsi="方正黑体简体" w:eastAsia="方正黑体简体"/>
                <w:color w:val="231F20"/>
                <w:sz w:val="24"/>
                <w:szCs w:val="24"/>
              </w:rPr>
            </w:pPr>
            <w:r>
              <w:rPr>
                <w:rFonts w:hint="default" w:ascii="方正黑体简体" w:hAnsi="方正黑体简体" w:eastAsia="方正黑体简体"/>
                <w:color w:val="231F20"/>
                <w:sz w:val="24"/>
                <w:szCs w:val="24"/>
              </w:rPr>
              <w:t>实施年限</w:t>
            </w:r>
          </w:p>
        </w:tc>
        <w:tc>
          <w:tcPr>
            <w:tcW w:w="1190" w:type="dxa"/>
            <w:tcBorders>
              <w:top w:val="single" w:color="000000" w:sz="12"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82" w:line="182" w:lineRule="auto"/>
              <w:ind w:left="55" w:right="30" w:firstLine="69"/>
              <w:rPr>
                <w:rFonts w:hint="default" w:ascii="方正黑体简体" w:hAnsi="方正黑体简体" w:eastAsia="方正黑体简体"/>
                <w:color w:val="231F20"/>
                <w:spacing w:val="-16"/>
                <w:sz w:val="24"/>
                <w:szCs w:val="24"/>
              </w:rPr>
            </w:pPr>
            <w:r>
              <w:rPr>
                <w:rFonts w:hint="default" w:ascii="方正黑体简体" w:hAnsi="方正黑体简体" w:eastAsia="方正黑体简体"/>
                <w:color w:val="231F20"/>
                <w:sz w:val="24"/>
                <w:szCs w:val="24"/>
              </w:rPr>
              <w:t>总投资</w:t>
            </w:r>
            <w:r>
              <w:rPr>
                <w:rFonts w:hint="default" w:ascii="方正黑体简体" w:hAnsi="方正黑体简体" w:eastAsia="方正黑体简体"/>
                <w:color w:val="231F20"/>
                <w:sz w:val="24"/>
                <w:szCs w:val="24"/>
                <w:lang w:val="en-US" w:eastAsia="zh-CN"/>
              </w:rPr>
              <w:t xml:space="preserve"> </w:t>
            </w:r>
            <w:r>
              <w:rPr>
                <w:rFonts w:hint="default" w:ascii="方正黑体简体" w:hAnsi="方正黑体简体" w:eastAsia="方正黑体简体"/>
                <w:color w:val="231F20"/>
                <w:spacing w:val="-3"/>
                <w:sz w:val="24"/>
                <w:szCs w:val="24"/>
              </w:rPr>
              <w:t>( 亿元</w:t>
            </w:r>
            <w:r>
              <w:rPr>
                <w:rFonts w:hint="default" w:ascii="方正黑体简体" w:hAnsi="方正黑体简体" w:eastAsia="方正黑体简体"/>
                <w:color w:val="231F20"/>
                <w:spacing w:val="-16"/>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24" w:hRule="atLeast"/>
        </w:trPr>
        <w:tc>
          <w:tcPr>
            <w:tcW w:w="8859" w:type="dxa"/>
            <w:gridSpan w:val="8"/>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5"/>
              <w:rPr>
                <w:rFonts w:hint="eastAsia" w:ascii="方正小标宋简体" w:hAnsi="方正小标宋简体" w:eastAsia="方正小标宋简体"/>
                <w:sz w:val="15"/>
                <w:szCs w:val="24"/>
              </w:rPr>
            </w:pPr>
          </w:p>
          <w:p>
            <w:pPr>
              <w:pStyle w:val="6"/>
              <w:kinsoku w:val="0"/>
              <w:overflowPunct w:val="0"/>
              <w:spacing w:line="298" w:lineRule="exact"/>
              <w:ind w:left="196" w:right="183"/>
              <w:jc w:val="center"/>
              <w:rPr>
                <w:rFonts w:hint="eastAsia"/>
                <w:color w:val="231F20"/>
                <w:sz w:val="24"/>
                <w:szCs w:val="24"/>
              </w:rPr>
            </w:pPr>
            <w:r>
              <w:rPr>
                <w:rFonts w:hint="eastAsia"/>
                <w:color w:val="231F20"/>
                <w:sz w:val="24"/>
                <w:szCs w:val="24"/>
              </w:rPr>
              <w:t>合计 5 项，吸引省内外医疗机构入驻或办分院，引进社会资本建设，</w:t>
            </w:r>
          </w:p>
          <w:p>
            <w:pPr>
              <w:pStyle w:val="6"/>
              <w:kinsoku w:val="0"/>
              <w:overflowPunct w:val="0"/>
              <w:spacing w:line="288" w:lineRule="exact"/>
              <w:ind w:left="196" w:right="183"/>
              <w:jc w:val="center"/>
              <w:rPr>
                <w:rFonts w:hint="eastAsia"/>
                <w:color w:val="231F20"/>
                <w:sz w:val="24"/>
                <w:szCs w:val="24"/>
              </w:rPr>
            </w:pPr>
            <w:r>
              <w:rPr>
                <w:rFonts w:hint="eastAsia"/>
                <w:color w:val="231F20"/>
                <w:sz w:val="24"/>
                <w:szCs w:val="24"/>
              </w:rPr>
              <w:t>新区投资建设。预计新增医疗机构床位 1600-3100 张。</w:t>
            </w:r>
          </w:p>
          <w:p>
            <w:pPr>
              <w:pStyle w:val="6"/>
              <w:kinsoku w:val="0"/>
              <w:overflowPunct w:val="0"/>
              <w:spacing w:line="298" w:lineRule="exact"/>
              <w:ind w:left="196" w:right="183"/>
              <w:jc w:val="center"/>
              <w:rPr>
                <w:rFonts w:hint="eastAsia"/>
                <w:color w:val="231F20"/>
                <w:sz w:val="24"/>
                <w:szCs w:val="24"/>
              </w:rPr>
            </w:pPr>
            <w:r>
              <w:rPr>
                <w:rFonts w:hint="eastAsia"/>
                <w:color w:val="231F20"/>
                <w:sz w:val="24"/>
                <w:szCs w:val="24"/>
              </w:rPr>
              <w:t>（按项目实施开始年度排序）</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31"/>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26.90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65" w:hRule="atLeast"/>
        </w:trPr>
        <w:tc>
          <w:tcPr>
            <w:tcW w:w="798"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ind w:left="18"/>
              <w:jc w:val="center"/>
              <w:rPr>
                <w:rFonts w:hint="eastAsia"/>
                <w:color w:val="231F20"/>
                <w:sz w:val="24"/>
                <w:szCs w:val="24"/>
              </w:rPr>
            </w:pPr>
            <w:r>
              <w:rPr>
                <w:rFonts w:hint="eastAsia"/>
                <w:color w:val="231F20"/>
                <w:sz w:val="24"/>
                <w:szCs w:val="24"/>
              </w:rPr>
              <w:t>1</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7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spacing w:before="6"/>
              <w:jc w:val="both"/>
              <w:rPr>
                <w:rFonts w:hint="eastAsia" w:ascii="方正小标宋简体" w:hAnsi="方正小标宋简体" w:eastAsia="方正小标宋简体"/>
                <w:sz w:val="25"/>
                <w:szCs w:val="24"/>
              </w:rPr>
            </w:pPr>
          </w:p>
          <w:p>
            <w:pPr>
              <w:pStyle w:val="6"/>
              <w:kinsoku w:val="0"/>
              <w:overflowPunct w:val="0"/>
              <w:spacing w:before="1" w:line="225" w:lineRule="auto"/>
              <w:ind w:right="142"/>
              <w:jc w:val="both"/>
              <w:rPr>
                <w:rFonts w:hint="eastAsia"/>
                <w:color w:val="231F20"/>
                <w:sz w:val="24"/>
                <w:szCs w:val="24"/>
              </w:rPr>
            </w:pPr>
            <w:r>
              <w:rPr>
                <w:rFonts w:hint="eastAsia"/>
                <w:color w:val="231F20"/>
                <w:sz w:val="24"/>
                <w:szCs w:val="24"/>
              </w:rPr>
              <w:t>新区医疗综合体建设项目</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ind w:right="50"/>
              <w:jc w:val="right"/>
              <w:rPr>
                <w:rFonts w:hint="eastAsia"/>
                <w:color w:val="231F20"/>
                <w:sz w:val="24"/>
                <w:szCs w:val="24"/>
              </w:rPr>
            </w:pPr>
            <w:r>
              <w:rPr>
                <w:rFonts w:hint="eastAsia"/>
                <w:color w:val="231F20"/>
                <w:sz w:val="24"/>
                <w:szCs w:val="24"/>
              </w:rPr>
              <w:t>三级</w:t>
            </w:r>
          </w:p>
        </w:tc>
        <w:tc>
          <w:tcPr>
            <w:tcW w:w="82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6"/>
              <w:rPr>
                <w:rFonts w:hint="eastAsia" w:ascii="方正小标宋简体" w:hAnsi="方正小标宋简体" w:eastAsia="方正小标宋简体"/>
                <w:sz w:val="25"/>
                <w:szCs w:val="24"/>
              </w:rPr>
            </w:pPr>
          </w:p>
          <w:p>
            <w:pPr>
              <w:pStyle w:val="6"/>
              <w:kinsoku w:val="0"/>
              <w:overflowPunct w:val="0"/>
              <w:spacing w:before="1" w:line="225" w:lineRule="auto"/>
              <w:ind w:left="76" w:right="50"/>
              <w:rPr>
                <w:rFonts w:hint="eastAsia"/>
                <w:color w:val="231F20"/>
                <w:sz w:val="24"/>
                <w:szCs w:val="24"/>
              </w:rPr>
            </w:pPr>
            <w:r>
              <w:rPr>
                <w:rFonts w:hint="eastAsia"/>
                <w:color w:val="231F20"/>
                <w:sz w:val="24"/>
                <w:szCs w:val="24"/>
              </w:rPr>
              <w:t>中川园区</w:t>
            </w:r>
          </w:p>
        </w:tc>
        <w:tc>
          <w:tcPr>
            <w:tcW w:w="124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1200-2000</w:t>
            </w:r>
          </w:p>
        </w:tc>
        <w:tc>
          <w:tcPr>
            <w:tcW w:w="118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46" w:line="298" w:lineRule="exact"/>
              <w:ind w:left="35"/>
              <w:jc w:val="both"/>
              <w:rPr>
                <w:rFonts w:hint="eastAsia"/>
                <w:color w:val="231F20"/>
                <w:spacing w:val="-30"/>
                <w:sz w:val="24"/>
                <w:szCs w:val="24"/>
              </w:rPr>
            </w:pPr>
            <w:r>
              <w:rPr>
                <w:rFonts w:hint="eastAsia"/>
                <w:color w:val="231F20"/>
                <w:sz w:val="24"/>
                <w:szCs w:val="24"/>
              </w:rPr>
              <w:t>ES11#</w:t>
            </w:r>
            <w:r>
              <w:rPr>
                <w:rFonts w:hint="eastAsia"/>
                <w:color w:val="231F20"/>
                <w:spacing w:val="-30"/>
                <w:sz w:val="24"/>
                <w:szCs w:val="24"/>
              </w:rPr>
              <w:t xml:space="preserve"> 路</w:t>
            </w:r>
          </w:p>
          <w:p>
            <w:pPr>
              <w:pStyle w:val="6"/>
              <w:kinsoku w:val="0"/>
              <w:overflowPunct w:val="0"/>
              <w:spacing w:before="5" w:line="225" w:lineRule="auto"/>
              <w:ind w:left="125" w:right="102"/>
              <w:jc w:val="both"/>
              <w:rPr>
                <w:rFonts w:hint="eastAsia"/>
                <w:color w:val="231F20"/>
                <w:sz w:val="24"/>
                <w:szCs w:val="24"/>
              </w:rPr>
            </w:pPr>
            <w:r>
              <w:rPr>
                <w:rFonts w:hint="eastAsia"/>
                <w:color w:val="231F20"/>
                <w:sz w:val="24"/>
                <w:szCs w:val="24"/>
              </w:rPr>
              <w:t>北侧、经十七路西侧</w:t>
            </w:r>
          </w:p>
        </w:tc>
        <w:tc>
          <w:tcPr>
            <w:tcW w:w="13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24"/>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spacing w:before="12"/>
              <w:rPr>
                <w:rFonts w:hint="eastAsia" w:ascii="方正小标宋简体" w:hAnsi="方正小标宋简体" w:eastAsia="方正小标宋简体"/>
                <w:sz w:val="32"/>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12" w:hRule="atLeast"/>
        </w:trPr>
        <w:tc>
          <w:tcPr>
            <w:tcW w:w="798"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18"/>
              <w:jc w:val="center"/>
              <w:rPr>
                <w:rFonts w:hint="eastAsia"/>
                <w:color w:val="231F20"/>
                <w:sz w:val="24"/>
                <w:szCs w:val="24"/>
              </w:rPr>
            </w:pPr>
            <w:r>
              <w:rPr>
                <w:rFonts w:hint="eastAsia"/>
                <w:color w:val="231F20"/>
                <w:sz w:val="24"/>
                <w:szCs w:val="24"/>
              </w:rPr>
              <w:t>2</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7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jc w:val="both"/>
              <w:rPr>
                <w:rFonts w:hint="eastAsia" w:ascii="方正小标宋简体" w:hAnsi="方正小标宋简体" w:eastAsia="方正小标宋简体"/>
                <w:sz w:val="24"/>
                <w:szCs w:val="24"/>
              </w:rPr>
            </w:pPr>
          </w:p>
          <w:p>
            <w:pPr>
              <w:pStyle w:val="6"/>
              <w:kinsoku w:val="0"/>
              <w:overflowPunct w:val="0"/>
              <w:jc w:val="both"/>
              <w:rPr>
                <w:rFonts w:hint="eastAsia" w:ascii="方正小标宋简体" w:hAnsi="方正小标宋简体" w:eastAsia="方正小标宋简体"/>
                <w:sz w:val="14"/>
                <w:szCs w:val="24"/>
              </w:rPr>
            </w:pPr>
          </w:p>
          <w:p>
            <w:pPr>
              <w:pStyle w:val="6"/>
              <w:kinsoku w:val="0"/>
              <w:overflowPunct w:val="0"/>
              <w:spacing w:line="225" w:lineRule="auto"/>
              <w:ind w:right="262"/>
              <w:jc w:val="both"/>
              <w:rPr>
                <w:rFonts w:hint="eastAsia"/>
                <w:color w:val="231F20"/>
                <w:sz w:val="24"/>
                <w:szCs w:val="24"/>
              </w:rPr>
            </w:pPr>
            <w:r>
              <w:rPr>
                <w:rFonts w:hint="eastAsia"/>
                <w:color w:val="231F20"/>
                <w:sz w:val="24"/>
                <w:szCs w:val="24"/>
              </w:rPr>
              <w:t>新区中医医院建设项目</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right="50"/>
              <w:jc w:val="right"/>
              <w:rPr>
                <w:rFonts w:hint="eastAsia"/>
                <w:color w:val="231F20"/>
                <w:sz w:val="24"/>
                <w:szCs w:val="24"/>
              </w:rPr>
            </w:pPr>
            <w:r>
              <w:rPr>
                <w:rFonts w:hint="eastAsia"/>
                <w:color w:val="231F20"/>
                <w:sz w:val="24"/>
                <w:szCs w:val="24"/>
              </w:rPr>
              <w:t>二级</w:t>
            </w:r>
          </w:p>
        </w:tc>
        <w:tc>
          <w:tcPr>
            <w:tcW w:w="82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rPr>
                <w:rFonts w:hint="eastAsia" w:ascii="方正小标宋简体" w:hAnsi="方正小标宋简体" w:eastAsia="方正小标宋简体"/>
                <w:sz w:val="14"/>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4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100-300</w:t>
            </w:r>
          </w:p>
        </w:tc>
        <w:tc>
          <w:tcPr>
            <w:tcW w:w="118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5"/>
              <w:rPr>
                <w:rFonts w:hint="eastAsia" w:ascii="方正小标宋简体" w:hAnsi="方正小标宋简体" w:eastAsia="方正小标宋简体"/>
                <w:sz w:val="29"/>
                <w:szCs w:val="24"/>
              </w:rPr>
            </w:pPr>
          </w:p>
          <w:p>
            <w:pPr>
              <w:pStyle w:val="6"/>
              <w:kinsoku w:val="0"/>
              <w:overflowPunct w:val="0"/>
              <w:spacing w:line="225" w:lineRule="auto"/>
              <w:ind w:left="125" w:right="102"/>
              <w:jc w:val="both"/>
              <w:rPr>
                <w:rFonts w:hint="eastAsia"/>
                <w:color w:val="231F20"/>
                <w:sz w:val="24"/>
                <w:szCs w:val="24"/>
              </w:rPr>
            </w:pPr>
            <w:r>
              <w:rPr>
                <w:rFonts w:hint="eastAsia"/>
                <w:color w:val="231F20"/>
                <w:sz w:val="24"/>
                <w:szCs w:val="24"/>
              </w:rPr>
              <w:t>与医疗综合体合建</w:t>
            </w:r>
          </w:p>
        </w:tc>
        <w:tc>
          <w:tcPr>
            <w:tcW w:w="13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3"/>
              <w:rPr>
                <w:rFonts w:hint="eastAsia" w:ascii="方正小标宋简体" w:hAnsi="方正小标宋简体" w:eastAsia="方正小标宋简体"/>
                <w:sz w:val="13"/>
                <w:szCs w:val="24"/>
              </w:rPr>
            </w:pPr>
          </w:p>
          <w:p>
            <w:pPr>
              <w:pStyle w:val="6"/>
              <w:kinsoku w:val="0"/>
              <w:overflowPunct w:val="0"/>
              <w:spacing w:before="1"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12" w:hRule="atLeast"/>
        </w:trPr>
        <w:tc>
          <w:tcPr>
            <w:tcW w:w="798"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18"/>
              <w:jc w:val="center"/>
              <w:rPr>
                <w:rFonts w:hint="eastAsia"/>
                <w:color w:val="231F20"/>
                <w:sz w:val="24"/>
                <w:szCs w:val="24"/>
              </w:rPr>
            </w:pPr>
            <w:r>
              <w:rPr>
                <w:rFonts w:hint="eastAsia"/>
                <w:color w:val="231F20"/>
                <w:sz w:val="24"/>
                <w:szCs w:val="24"/>
              </w:rPr>
              <w:t>3</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7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jc w:val="both"/>
              <w:rPr>
                <w:rFonts w:hint="eastAsia" w:ascii="方正小标宋简体" w:hAnsi="方正小标宋简体" w:eastAsia="方正小标宋简体"/>
                <w:sz w:val="24"/>
                <w:szCs w:val="24"/>
              </w:rPr>
            </w:pPr>
          </w:p>
          <w:p>
            <w:pPr>
              <w:pStyle w:val="6"/>
              <w:kinsoku w:val="0"/>
              <w:overflowPunct w:val="0"/>
              <w:jc w:val="both"/>
              <w:rPr>
                <w:rFonts w:hint="eastAsia" w:ascii="方正小标宋简体" w:hAnsi="方正小标宋简体" w:eastAsia="方正小标宋简体"/>
                <w:sz w:val="14"/>
                <w:szCs w:val="24"/>
              </w:rPr>
            </w:pPr>
          </w:p>
          <w:p>
            <w:pPr>
              <w:pStyle w:val="6"/>
              <w:kinsoku w:val="0"/>
              <w:overflowPunct w:val="0"/>
              <w:spacing w:line="225" w:lineRule="auto"/>
              <w:ind w:right="142"/>
              <w:jc w:val="both"/>
              <w:rPr>
                <w:rFonts w:hint="eastAsia"/>
                <w:color w:val="231F20"/>
                <w:sz w:val="24"/>
                <w:szCs w:val="24"/>
              </w:rPr>
            </w:pPr>
            <w:r>
              <w:rPr>
                <w:rFonts w:hint="eastAsia"/>
                <w:color w:val="231F20"/>
                <w:sz w:val="24"/>
                <w:szCs w:val="24"/>
              </w:rPr>
              <w:t>新区妇幼保健院建设项目</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right="50"/>
              <w:jc w:val="right"/>
              <w:rPr>
                <w:rFonts w:hint="eastAsia"/>
                <w:color w:val="231F20"/>
                <w:sz w:val="24"/>
                <w:szCs w:val="24"/>
              </w:rPr>
            </w:pPr>
            <w:r>
              <w:rPr>
                <w:rFonts w:hint="eastAsia"/>
                <w:color w:val="231F20"/>
                <w:sz w:val="24"/>
                <w:szCs w:val="24"/>
              </w:rPr>
              <w:t>二级</w:t>
            </w:r>
          </w:p>
        </w:tc>
        <w:tc>
          <w:tcPr>
            <w:tcW w:w="82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rPr>
                <w:rFonts w:hint="eastAsia" w:ascii="方正小标宋简体" w:hAnsi="方正小标宋简体" w:eastAsia="方正小标宋简体"/>
                <w:sz w:val="14"/>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中川园区</w:t>
            </w:r>
          </w:p>
        </w:tc>
        <w:tc>
          <w:tcPr>
            <w:tcW w:w="124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100-300</w:t>
            </w:r>
          </w:p>
        </w:tc>
        <w:tc>
          <w:tcPr>
            <w:tcW w:w="118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5"/>
              <w:rPr>
                <w:rFonts w:hint="eastAsia" w:ascii="方正小标宋简体" w:hAnsi="方正小标宋简体" w:eastAsia="方正小标宋简体"/>
                <w:sz w:val="29"/>
                <w:szCs w:val="24"/>
              </w:rPr>
            </w:pPr>
          </w:p>
          <w:p>
            <w:pPr>
              <w:pStyle w:val="6"/>
              <w:kinsoku w:val="0"/>
              <w:overflowPunct w:val="0"/>
              <w:spacing w:line="225" w:lineRule="auto"/>
              <w:ind w:left="125" w:right="102"/>
              <w:jc w:val="both"/>
              <w:rPr>
                <w:rFonts w:hint="eastAsia"/>
                <w:color w:val="231F20"/>
                <w:sz w:val="24"/>
                <w:szCs w:val="24"/>
              </w:rPr>
            </w:pPr>
            <w:r>
              <w:rPr>
                <w:rFonts w:hint="eastAsia"/>
                <w:color w:val="231F20"/>
                <w:sz w:val="24"/>
                <w:szCs w:val="24"/>
              </w:rPr>
              <w:t>与医疗综合体合建</w:t>
            </w:r>
          </w:p>
        </w:tc>
        <w:tc>
          <w:tcPr>
            <w:tcW w:w="13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3"/>
              <w:rPr>
                <w:rFonts w:hint="eastAsia" w:ascii="方正小标宋简体" w:hAnsi="方正小标宋简体" w:eastAsia="方正小标宋简体"/>
                <w:sz w:val="13"/>
                <w:szCs w:val="24"/>
              </w:rPr>
            </w:pPr>
          </w:p>
          <w:p>
            <w:pPr>
              <w:pStyle w:val="6"/>
              <w:kinsoku w:val="0"/>
              <w:overflowPunct w:val="0"/>
              <w:spacing w:before="1"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12" w:hRule="atLeast"/>
        </w:trPr>
        <w:tc>
          <w:tcPr>
            <w:tcW w:w="798" w:type="dxa"/>
            <w:tcBorders>
              <w:top w:val="single" w:color="000000" w:sz="6" w:space="0"/>
              <w:left w:val="single" w:color="000000" w:sz="12"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18"/>
              <w:jc w:val="center"/>
              <w:rPr>
                <w:rFonts w:hint="eastAsia"/>
                <w:color w:val="231F20"/>
                <w:sz w:val="24"/>
                <w:szCs w:val="24"/>
              </w:rPr>
            </w:pPr>
            <w:r>
              <w:rPr>
                <w:rFonts w:hint="eastAsia"/>
                <w:color w:val="231F20"/>
                <w:sz w:val="24"/>
                <w:szCs w:val="24"/>
              </w:rPr>
              <w:t>4</w:t>
            </w:r>
          </w:p>
        </w:tc>
        <w:tc>
          <w:tcPr>
            <w:tcW w:w="90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753"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6"/>
              <w:kinsoku w:val="0"/>
              <w:overflowPunct w:val="0"/>
              <w:jc w:val="both"/>
              <w:rPr>
                <w:rFonts w:hint="eastAsia" w:ascii="方正小标宋简体" w:hAnsi="方正小标宋简体" w:eastAsia="方正小标宋简体"/>
                <w:sz w:val="24"/>
                <w:szCs w:val="24"/>
              </w:rPr>
            </w:pPr>
          </w:p>
          <w:p>
            <w:pPr>
              <w:pStyle w:val="6"/>
              <w:kinsoku w:val="0"/>
              <w:overflowPunct w:val="0"/>
              <w:jc w:val="both"/>
              <w:rPr>
                <w:rFonts w:hint="eastAsia" w:ascii="方正小标宋简体" w:hAnsi="方正小标宋简体" w:eastAsia="方正小标宋简体"/>
                <w:sz w:val="14"/>
                <w:szCs w:val="24"/>
              </w:rPr>
            </w:pPr>
          </w:p>
          <w:p>
            <w:pPr>
              <w:pStyle w:val="6"/>
              <w:kinsoku w:val="0"/>
              <w:overflowPunct w:val="0"/>
              <w:spacing w:line="225" w:lineRule="auto"/>
              <w:ind w:right="262"/>
              <w:jc w:val="both"/>
              <w:rPr>
                <w:rFonts w:hint="eastAsia"/>
                <w:color w:val="231F20"/>
                <w:sz w:val="24"/>
                <w:szCs w:val="24"/>
              </w:rPr>
            </w:pPr>
            <w:r>
              <w:rPr>
                <w:rFonts w:hint="eastAsia"/>
                <w:color w:val="231F20"/>
                <w:sz w:val="24"/>
                <w:szCs w:val="24"/>
              </w:rPr>
              <w:t>西岔人民医院建设项目</w:t>
            </w:r>
          </w:p>
        </w:tc>
        <w:tc>
          <w:tcPr>
            <w:tcW w:w="814"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right="50"/>
              <w:jc w:val="right"/>
              <w:rPr>
                <w:rFonts w:hint="eastAsia"/>
                <w:color w:val="231F20"/>
                <w:sz w:val="24"/>
                <w:szCs w:val="24"/>
              </w:rPr>
            </w:pPr>
            <w:r>
              <w:rPr>
                <w:rFonts w:hint="eastAsia"/>
                <w:color w:val="231F20"/>
                <w:sz w:val="24"/>
                <w:szCs w:val="24"/>
              </w:rPr>
              <w:t>二级</w:t>
            </w:r>
          </w:p>
        </w:tc>
        <w:tc>
          <w:tcPr>
            <w:tcW w:w="822"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rPr>
                <w:rFonts w:hint="eastAsia" w:ascii="方正小标宋简体" w:hAnsi="方正小标宋简体" w:eastAsia="方正小标宋简体"/>
                <w:sz w:val="14"/>
                <w:szCs w:val="24"/>
              </w:rPr>
            </w:pPr>
          </w:p>
          <w:p>
            <w:pPr>
              <w:pStyle w:val="6"/>
              <w:kinsoku w:val="0"/>
              <w:overflowPunct w:val="0"/>
              <w:spacing w:line="225" w:lineRule="auto"/>
              <w:ind w:left="76" w:right="50"/>
              <w:rPr>
                <w:rFonts w:hint="eastAsia"/>
                <w:color w:val="231F20"/>
                <w:sz w:val="24"/>
                <w:szCs w:val="24"/>
              </w:rPr>
            </w:pPr>
            <w:r>
              <w:rPr>
                <w:rFonts w:hint="eastAsia"/>
                <w:color w:val="231F20"/>
                <w:sz w:val="24"/>
                <w:szCs w:val="24"/>
              </w:rPr>
              <w:t>西岔园区</w:t>
            </w:r>
          </w:p>
        </w:tc>
        <w:tc>
          <w:tcPr>
            <w:tcW w:w="1248"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100-300</w:t>
            </w:r>
          </w:p>
        </w:tc>
        <w:tc>
          <w:tcPr>
            <w:tcW w:w="1186"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spacing w:before="10"/>
              <w:rPr>
                <w:rFonts w:hint="eastAsia" w:ascii="方正小标宋简体" w:hAnsi="方正小标宋简体" w:eastAsia="方正小标宋简体"/>
                <w:sz w:val="13"/>
                <w:szCs w:val="24"/>
              </w:rPr>
            </w:pPr>
          </w:p>
          <w:p>
            <w:pPr>
              <w:pStyle w:val="6"/>
              <w:kinsoku w:val="0"/>
              <w:overflowPunct w:val="0"/>
              <w:spacing w:before="1" w:line="225" w:lineRule="auto"/>
              <w:ind w:left="125" w:right="102" w:firstLine="240"/>
              <w:rPr>
                <w:rFonts w:hint="eastAsia"/>
                <w:color w:val="231F20"/>
                <w:spacing w:val="-6"/>
                <w:sz w:val="24"/>
                <w:szCs w:val="24"/>
              </w:rPr>
            </w:pPr>
            <w:r>
              <w:rPr>
                <w:rFonts w:hint="eastAsia"/>
                <w:color w:val="231F20"/>
                <w:sz w:val="24"/>
                <w:szCs w:val="24"/>
              </w:rPr>
              <w:t xml:space="preserve">经 </w:t>
            </w:r>
            <w:r>
              <w:rPr>
                <w:rFonts w:hint="eastAsia"/>
                <w:color w:val="231F20"/>
                <w:spacing w:val="-6"/>
                <w:sz w:val="24"/>
                <w:szCs w:val="24"/>
              </w:rPr>
              <w:t>二十九</w:t>
            </w:r>
          </w:p>
          <w:p>
            <w:pPr>
              <w:pStyle w:val="6"/>
              <w:kinsoku w:val="0"/>
              <w:overflowPunct w:val="0"/>
              <w:spacing w:line="225" w:lineRule="auto"/>
              <w:ind w:left="125" w:right="-87" w:hanging="60"/>
              <w:rPr>
                <w:rFonts w:hint="eastAsia"/>
                <w:color w:val="231F20"/>
                <w:sz w:val="24"/>
                <w:szCs w:val="24"/>
              </w:rPr>
            </w:pPr>
            <w:r>
              <w:rPr>
                <w:rFonts w:hint="eastAsia"/>
                <w:color w:val="231F20"/>
                <w:sz w:val="24"/>
                <w:szCs w:val="24"/>
              </w:rPr>
              <w:t>路西侧、纬十二路北侧</w:t>
            </w:r>
          </w:p>
        </w:tc>
        <w:tc>
          <w:tcPr>
            <w:tcW w:w="133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3"/>
              <w:rPr>
                <w:rFonts w:hint="eastAsia" w:ascii="方正小标宋简体" w:hAnsi="方正小标宋简体" w:eastAsia="方正小标宋简体"/>
                <w:sz w:val="13"/>
                <w:szCs w:val="24"/>
              </w:rPr>
            </w:pPr>
          </w:p>
          <w:p>
            <w:pPr>
              <w:pStyle w:val="6"/>
              <w:kinsoku w:val="0"/>
              <w:overflowPunct w:val="0"/>
              <w:spacing w:before="1"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190" w:type="dxa"/>
            <w:tcBorders>
              <w:top w:val="single" w:color="000000" w:sz="6" w:space="0"/>
              <w:left w:val="single" w:color="000000" w:sz="6" w:space="0"/>
              <w:bottom w:val="single" w:color="000000" w:sz="6"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21"/>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35" w:hRule="atLeast"/>
        </w:trPr>
        <w:tc>
          <w:tcPr>
            <w:tcW w:w="798" w:type="dxa"/>
            <w:tcBorders>
              <w:top w:val="single" w:color="000000" w:sz="6" w:space="0"/>
              <w:left w:val="single" w:color="000000" w:sz="12"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19"/>
                <w:szCs w:val="24"/>
              </w:rPr>
            </w:pPr>
          </w:p>
          <w:p>
            <w:pPr>
              <w:pStyle w:val="6"/>
              <w:kinsoku w:val="0"/>
              <w:overflowPunct w:val="0"/>
              <w:ind w:left="18"/>
              <w:jc w:val="center"/>
              <w:rPr>
                <w:rFonts w:hint="eastAsia"/>
                <w:color w:val="231F20"/>
                <w:sz w:val="24"/>
                <w:szCs w:val="24"/>
              </w:rPr>
            </w:pPr>
            <w:r>
              <w:rPr>
                <w:rFonts w:hint="eastAsia"/>
                <w:color w:val="231F20"/>
                <w:sz w:val="24"/>
                <w:szCs w:val="24"/>
              </w:rPr>
              <w:t>5</w:t>
            </w:r>
          </w:p>
        </w:tc>
        <w:tc>
          <w:tcPr>
            <w:tcW w:w="90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19"/>
                <w:szCs w:val="24"/>
              </w:rPr>
            </w:pPr>
          </w:p>
          <w:p>
            <w:pPr>
              <w:pStyle w:val="6"/>
              <w:kinsoku w:val="0"/>
              <w:overflowPunct w:val="0"/>
              <w:ind w:left="56" w:right="32"/>
              <w:jc w:val="center"/>
              <w:rPr>
                <w:rFonts w:hint="eastAsia"/>
                <w:color w:val="231F20"/>
                <w:sz w:val="24"/>
                <w:szCs w:val="24"/>
              </w:rPr>
            </w:pPr>
            <w:r>
              <w:rPr>
                <w:rFonts w:hint="eastAsia"/>
                <w:color w:val="231F20"/>
                <w:sz w:val="24"/>
                <w:szCs w:val="24"/>
              </w:rPr>
              <w:t>新建</w:t>
            </w:r>
          </w:p>
        </w:tc>
        <w:tc>
          <w:tcPr>
            <w:tcW w:w="1753" w:type="dxa"/>
            <w:tcBorders>
              <w:top w:val="single" w:color="000000" w:sz="6" w:space="0"/>
              <w:left w:val="single" w:color="000000" w:sz="6" w:space="0"/>
              <w:bottom w:val="single" w:color="000000" w:sz="12" w:space="0"/>
              <w:right w:val="single" w:color="000000" w:sz="6" w:space="0"/>
              <w:tl2br w:val="nil"/>
              <w:tr2bl w:val="nil"/>
            </w:tcBorders>
            <w:noWrap w:val="0"/>
            <w:vAlign w:val="center"/>
          </w:tcPr>
          <w:p>
            <w:pPr>
              <w:pStyle w:val="6"/>
              <w:kinsoku w:val="0"/>
              <w:overflowPunct w:val="0"/>
              <w:spacing w:before="1"/>
              <w:jc w:val="both"/>
              <w:rPr>
                <w:rFonts w:hint="eastAsia" w:ascii="方正小标宋简体" w:hAnsi="方正小标宋简体" w:eastAsia="方正小标宋简体"/>
                <w:sz w:val="27"/>
                <w:szCs w:val="24"/>
              </w:rPr>
            </w:pPr>
          </w:p>
          <w:p>
            <w:pPr>
              <w:pStyle w:val="6"/>
              <w:kinsoku w:val="0"/>
              <w:overflowPunct w:val="0"/>
              <w:spacing w:before="1" w:line="298" w:lineRule="exact"/>
              <w:jc w:val="both"/>
              <w:rPr>
                <w:rFonts w:hint="eastAsia"/>
                <w:color w:val="231F20"/>
                <w:sz w:val="24"/>
                <w:szCs w:val="24"/>
              </w:rPr>
            </w:pPr>
            <w:r>
              <w:rPr>
                <w:rFonts w:hint="eastAsia"/>
                <w:color w:val="231F20"/>
                <w:sz w:val="24"/>
                <w:szCs w:val="24"/>
              </w:rPr>
              <w:t>精神卫生中心</w:t>
            </w:r>
          </w:p>
          <w:p>
            <w:pPr>
              <w:pStyle w:val="6"/>
              <w:kinsoku w:val="0"/>
              <w:overflowPunct w:val="0"/>
              <w:spacing w:before="4" w:line="225" w:lineRule="auto"/>
              <w:ind w:right="262"/>
              <w:jc w:val="both"/>
              <w:rPr>
                <w:rFonts w:hint="eastAsia"/>
                <w:color w:val="231F20"/>
                <w:sz w:val="24"/>
                <w:szCs w:val="24"/>
              </w:rPr>
            </w:pPr>
            <w:r>
              <w:rPr>
                <w:rFonts w:hint="eastAsia"/>
                <w:color w:val="231F20"/>
                <w:sz w:val="24"/>
                <w:szCs w:val="24"/>
              </w:rPr>
              <w:t>（专科医院） 建设项目</w:t>
            </w:r>
          </w:p>
        </w:tc>
        <w:tc>
          <w:tcPr>
            <w:tcW w:w="814"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19"/>
                <w:szCs w:val="24"/>
              </w:rPr>
            </w:pPr>
          </w:p>
          <w:p>
            <w:pPr>
              <w:pStyle w:val="6"/>
              <w:kinsoku w:val="0"/>
              <w:overflowPunct w:val="0"/>
              <w:ind w:right="50"/>
              <w:jc w:val="right"/>
              <w:rPr>
                <w:rFonts w:hint="eastAsia"/>
                <w:color w:val="231F20"/>
                <w:sz w:val="24"/>
                <w:szCs w:val="24"/>
              </w:rPr>
            </w:pPr>
            <w:r>
              <w:rPr>
                <w:rFonts w:hint="eastAsia"/>
                <w:color w:val="231F20"/>
                <w:sz w:val="24"/>
                <w:szCs w:val="24"/>
              </w:rPr>
              <w:t>二级</w:t>
            </w:r>
          </w:p>
        </w:tc>
        <w:tc>
          <w:tcPr>
            <w:tcW w:w="822"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213" w:line="225" w:lineRule="auto"/>
              <w:ind w:left="76" w:right="50"/>
              <w:rPr>
                <w:rFonts w:hint="eastAsia"/>
                <w:color w:val="231F20"/>
                <w:sz w:val="24"/>
                <w:szCs w:val="24"/>
              </w:rPr>
            </w:pPr>
            <w:r>
              <w:rPr>
                <w:rFonts w:hint="eastAsia"/>
                <w:color w:val="231F20"/>
                <w:sz w:val="24"/>
                <w:szCs w:val="24"/>
              </w:rPr>
              <w:t>西岔园区</w:t>
            </w:r>
          </w:p>
        </w:tc>
        <w:tc>
          <w:tcPr>
            <w:tcW w:w="1248"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19"/>
                <w:szCs w:val="24"/>
              </w:rPr>
            </w:pPr>
          </w:p>
          <w:p>
            <w:pPr>
              <w:pStyle w:val="6"/>
              <w:kinsoku w:val="0"/>
              <w:overflowPunct w:val="0"/>
              <w:ind w:left="67" w:right="45"/>
              <w:jc w:val="center"/>
              <w:rPr>
                <w:rFonts w:hint="eastAsia"/>
                <w:color w:val="231F20"/>
                <w:sz w:val="24"/>
                <w:szCs w:val="24"/>
              </w:rPr>
            </w:pPr>
            <w:r>
              <w:rPr>
                <w:rFonts w:hint="eastAsia"/>
                <w:color w:val="231F20"/>
                <w:sz w:val="24"/>
                <w:szCs w:val="24"/>
              </w:rPr>
              <w:t>100-200</w:t>
            </w:r>
          </w:p>
        </w:tc>
        <w:tc>
          <w:tcPr>
            <w:tcW w:w="1186"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17"/>
              <w:rPr>
                <w:rFonts w:hint="eastAsia" w:ascii="方正小标宋简体" w:hAnsi="方正小标宋简体" w:eastAsia="方正小标宋简体"/>
                <w:sz w:val="18"/>
                <w:szCs w:val="24"/>
              </w:rPr>
            </w:pPr>
          </w:p>
          <w:p>
            <w:pPr>
              <w:pStyle w:val="6"/>
              <w:kinsoku w:val="0"/>
              <w:overflowPunct w:val="0"/>
              <w:spacing w:line="298" w:lineRule="exact"/>
              <w:ind w:left="20"/>
              <w:jc w:val="center"/>
              <w:rPr>
                <w:rFonts w:hint="eastAsia"/>
                <w:color w:val="231F20"/>
                <w:spacing w:val="-30"/>
                <w:sz w:val="24"/>
                <w:szCs w:val="24"/>
              </w:rPr>
            </w:pPr>
            <w:r>
              <w:rPr>
                <w:rFonts w:hint="eastAsia"/>
                <w:color w:val="231F20"/>
                <w:sz w:val="24"/>
                <w:szCs w:val="24"/>
              </w:rPr>
              <w:t>NCE6#</w:t>
            </w:r>
            <w:r>
              <w:rPr>
                <w:rFonts w:hint="eastAsia"/>
                <w:color w:val="231F20"/>
                <w:spacing w:val="-30"/>
                <w:sz w:val="24"/>
                <w:szCs w:val="24"/>
              </w:rPr>
              <w:t xml:space="preserve"> 路</w:t>
            </w:r>
          </w:p>
          <w:p>
            <w:pPr>
              <w:pStyle w:val="6"/>
              <w:kinsoku w:val="0"/>
              <w:overflowPunct w:val="0"/>
              <w:spacing w:before="5" w:line="225" w:lineRule="auto"/>
              <w:ind w:left="23"/>
              <w:jc w:val="center"/>
              <w:rPr>
                <w:rFonts w:hint="eastAsia"/>
                <w:color w:val="231F20"/>
                <w:spacing w:val="-39"/>
                <w:sz w:val="24"/>
                <w:szCs w:val="24"/>
              </w:rPr>
            </w:pPr>
            <w:r>
              <w:rPr>
                <w:rFonts w:hint="eastAsia"/>
                <w:color w:val="231F20"/>
                <w:sz w:val="24"/>
                <w:szCs w:val="24"/>
              </w:rPr>
              <w:t>南侧、NCE3#</w:t>
            </w:r>
            <w:r>
              <w:rPr>
                <w:rFonts w:hint="eastAsia"/>
                <w:color w:val="231F20"/>
                <w:spacing w:val="-39"/>
                <w:sz w:val="24"/>
                <w:szCs w:val="24"/>
              </w:rPr>
              <w:t xml:space="preserve"> 路</w:t>
            </w:r>
          </w:p>
          <w:p>
            <w:pPr>
              <w:pStyle w:val="6"/>
              <w:kinsoku w:val="0"/>
              <w:overflowPunct w:val="0"/>
              <w:spacing w:line="291" w:lineRule="exact"/>
              <w:ind w:left="122" w:right="102"/>
              <w:jc w:val="center"/>
              <w:rPr>
                <w:rFonts w:hint="eastAsia"/>
                <w:color w:val="231F20"/>
                <w:sz w:val="24"/>
                <w:szCs w:val="24"/>
              </w:rPr>
            </w:pPr>
            <w:r>
              <w:rPr>
                <w:rFonts w:hint="eastAsia"/>
                <w:color w:val="231F20"/>
                <w:sz w:val="24"/>
                <w:szCs w:val="24"/>
              </w:rPr>
              <w:t>西侧</w:t>
            </w:r>
          </w:p>
        </w:tc>
        <w:tc>
          <w:tcPr>
            <w:tcW w:w="1330" w:type="dxa"/>
            <w:tcBorders>
              <w:top w:val="single" w:color="000000" w:sz="6" w:space="0"/>
              <w:left w:val="single" w:color="000000" w:sz="6" w:space="0"/>
              <w:bottom w:val="single" w:color="000000" w:sz="12" w:space="0"/>
              <w:right w:val="single" w:color="000000" w:sz="6" w:space="0"/>
              <w:tl2br w:val="nil"/>
              <w:tr2bl w:val="nil"/>
            </w:tcBorders>
            <w:noWrap w:val="0"/>
            <w:vAlign w:val="top"/>
          </w:tcPr>
          <w:p>
            <w:pPr>
              <w:pStyle w:val="6"/>
              <w:kinsoku w:val="0"/>
              <w:overflowPunct w:val="0"/>
              <w:spacing w:before="4"/>
              <w:rPr>
                <w:rFonts w:hint="eastAsia" w:ascii="方正小标宋简体" w:hAnsi="方正小标宋简体" w:eastAsia="方正小标宋简体"/>
                <w:sz w:val="35"/>
                <w:szCs w:val="24"/>
              </w:rPr>
            </w:pPr>
          </w:p>
          <w:p>
            <w:pPr>
              <w:pStyle w:val="6"/>
              <w:kinsoku w:val="0"/>
              <w:overflowPunct w:val="0"/>
              <w:spacing w:line="298" w:lineRule="exact"/>
              <w:ind w:left="223"/>
              <w:rPr>
                <w:rFonts w:hint="eastAsia"/>
                <w:color w:val="231F20"/>
                <w:sz w:val="24"/>
                <w:szCs w:val="24"/>
              </w:rPr>
            </w:pPr>
            <w:r>
              <w:rPr>
                <w:rFonts w:hint="eastAsia"/>
                <w:color w:val="231F20"/>
                <w:sz w:val="24"/>
                <w:szCs w:val="24"/>
              </w:rPr>
              <w:t>2023-</w:t>
            </w:r>
          </w:p>
          <w:p>
            <w:pPr>
              <w:pStyle w:val="6"/>
              <w:kinsoku w:val="0"/>
              <w:overflowPunct w:val="0"/>
              <w:spacing w:line="298" w:lineRule="exact"/>
              <w:ind w:left="283"/>
              <w:rPr>
                <w:rFonts w:hint="eastAsia"/>
                <w:color w:val="231F20"/>
                <w:sz w:val="24"/>
                <w:szCs w:val="24"/>
              </w:rPr>
            </w:pPr>
            <w:r>
              <w:rPr>
                <w:rFonts w:hint="eastAsia"/>
                <w:color w:val="231F20"/>
                <w:sz w:val="24"/>
                <w:szCs w:val="24"/>
              </w:rPr>
              <w:t>2025</w:t>
            </w:r>
          </w:p>
        </w:tc>
        <w:tc>
          <w:tcPr>
            <w:tcW w:w="1190" w:type="dxa"/>
            <w:tcBorders>
              <w:top w:val="single" w:color="000000" w:sz="6" w:space="0"/>
              <w:left w:val="single" w:color="000000" w:sz="6" w:space="0"/>
              <w:bottom w:val="single" w:color="000000" w:sz="12" w:space="0"/>
              <w:right w:val="single" w:color="000000" w:sz="12" w:space="0"/>
              <w:tl2br w:val="nil"/>
              <w:tr2bl w:val="nil"/>
            </w:tcBorders>
            <w:noWrap w:val="0"/>
            <w:vAlign w:val="top"/>
          </w:tcPr>
          <w:p>
            <w:pPr>
              <w:pStyle w:val="6"/>
              <w:kinsoku w:val="0"/>
              <w:overflowPunct w:val="0"/>
              <w:rPr>
                <w:rFonts w:hint="eastAsia" w:ascii="方正小标宋简体" w:hAnsi="方正小标宋简体" w:eastAsia="方正小标宋简体"/>
                <w:sz w:val="24"/>
                <w:szCs w:val="24"/>
              </w:rPr>
            </w:pPr>
          </w:p>
          <w:p>
            <w:pPr>
              <w:pStyle w:val="6"/>
              <w:kinsoku w:val="0"/>
              <w:overflowPunct w:val="0"/>
              <w:spacing w:before="6"/>
              <w:rPr>
                <w:rFonts w:hint="eastAsia" w:ascii="方正小标宋简体" w:hAnsi="方正小标宋简体" w:eastAsia="方正小标宋简体"/>
                <w:sz w:val="19"/>
                <w:szCs w:val="24"/>
              </w:rPr>
            </w:pPr>
          </w:p>
          <w:p>
            <w:pPr>
              <w:pStyle w:val="6"/>
              <w:kinsoku w:val="0"/>
              <w:overflowPunct w:val="0"/>
              <w:ind w:left="164" w:right="142"/>
              <w:jc w:val="center"/>
              <w:rPr>
                <w:rFonts w:hint="eastAsia"/>
                <w:color w:val="231F20"/>
                <w:sz w:val="24"/>
                <w:szCs w:val="24"/>
              </w:rPr>
            </w:pPr>
            <w:r>
              <w:rPr>
                <w:rFonts w:hint="eastAsia"/>
                <w:color w:val="231F20"/>
                <w:sz w:val="24"/>
                <w:szCs w:val="24"/>
              </w:rPr>
              <w:t>1.5</w:t>
            </w:r>
          </w:p>
        </w:tc>
      </w:tr>
    </w:tbl>
    <w:p>
      <w:pPr>
        <w:rPr>
          <w:rFonts w:hint="eastAsia"/>
          <w:sz w:val="22"/>
          <w:szCs w:val="24"/>
        </w:rPr>
      </w:pPr>
    </w:p>
    <w:sectPr>
      <w:pgSz w:w="12250" w:h="17180"/>
      <w:pgMar w:top="1620" w:right="1480" w:bottom="1560" w:left="1480" w:header="0" w:footer="144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黑体_GBK"/>
    <w:panose1 w:val="00000000000000000000"/>
    <w:charset w:val="00"/>
    <w:family w:val="script"/>
    <w:pitch w:val="default"/>
    <w:sig w:usb0="00000000" w:usb1="00000000" w:usb2="00000000" w:usb3="00000000" w:csb0="00040001" w:csb1="00000000"/>
  </w:font>
  <w:font w:name="楷体_GB2312">
    <w:altName w:val="楷体"/>
    <w:panose1 w:val="00000000000000000000"/>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ind w:left="0"/>
      <w:rPr>
        <w:rFonts w:hint="eastAsia"/>
        <w:sz w:val="20"/>
        <w:szCs w:val="24"/>
      </w:rPr>
    </w:pPr>
    <w:r>
      <w:rPr>
        <w:rFonts w:hint="default" w:ascii="宋体" w:hAnsi="宋体" w:eastAsia="宋体"/>
        <w:color w:val="231F20"/>
        <w:sz w:val="32"/>
        <w:szCs w:val="24"/>
      </w:rPr>
      <mc:AlternateContent>
        <mc:Choice Requires="wps">
          <w:drawing>
            <wp:anchor distT="0" distB="0" distL="114300" distR="114300" simplePos="0" relativeHeight="251658240" behindDoc="1" locked="0" layoutInCell="1" allowOverlap="1">
              <wp:simplePos x="0" y="0"/>
              <wp:positionH relativeFrom="page">
                <wp:posOffset>5939155</wp:posOffset>
              </wp:positionH>
              <wp:positionV relativeFrom="page">
                <wp:posOffset>9851390</wp:posOffset>
              </wp:positionV>
              <wp:extent cx="635000" cy="228600"/>
              <wp:effectExtent l="0" t="0" r="0" b="0"/>
              <wp:wrapNone/>
              <wp:docPr id="37" name="文本框 1"/>
              <wp:cNvGraphicFramePr/>
              <a:graphic xmlns:a="http://schemas.openxmlformats.org/drawingml/2006/main">
                <a:graphicData uri="http://schemas.microsoft.com/office/word/2010/wordprocessingShape">
                  <wps:wsp>
                    <wps:cNvSpPr txBox="true"/>
                    <wps:spPr>
                      <a:xfrm>
                        <a:off x="0" y="0"/>
                        <a:ext cx="635000" cy="228600"/>
                      </a:xfrm>
                      <a:prstGeom prst="rect">
                        <a:avLst/>
                      </a:prstGeom>
                      <a:noFill/>
                      <a:ln>
                        <a:noFill/>
                      </a:ln>
                    </wps:spPr>
                    <wps:txbx>
                      <w:txbxContent>
                        <w:p>
                          <w:pPr>
                            <w:pStyle w:val="3"/>
                            <w:kinsoku w:val="0"/>
                            <w:overflowPunct w:val="0"/>
                            <w:spacing w:line="360" w:lineRule="exact"/>
                            <w:ind w:left="20"/>
                            <w:rPr>
                              <w:rFonts w:hint="eastAsia"/>
                              <w:color w:val="231F20"/>
                              <w:sz w:val="32"/>
                              <w:szCs w:val="24"/>
                            </w:rPr>
                          </w:pPr>
                          <w:r>
                            <w:rPr>
                              <w:rFonts w:hint="eastAsia"/>
                              <w:color w:val="231F20"/>
                              <w:sz w:val="32"/>
                              <w:szCs w:val="24"/>
                            </w:rPr>
                            <w:t>—</w:t>
                          </w:r>
                          <w:r>
                            <w:rPr>
                              <w:rFonts w:hint="eastAsia"/>
                              <w:color w:val="231F20"/>
                              <w:sz w:val="32"/>
                              <w:szCs w:val="24"/>
                            </w:rPr>
                            <w:fldChar w:fldCharType="begin"/>
                          </w:r>
                          <w:r>
                            <w:rPr>
                              <w:rFonts w:hint="eastAsia"/>
                              <w:color w:val="231F20"/>
                              <w:sz w:val="32"/>
                              <w:szCs w:val="24"/>
                            </w:rPr>
                            <w:instrText xml:space="preserve"> PAGE </w:instrText>
                          </w:r>
                          <w:r>
                            <w:rPr>
                              <w:rFonts w:hint="eastAsia"/>
                              <w:color w:val="231F20"/>
                              <w:sz w:val="32"/>
                              <w:szCs w:val="24"/>
                            </w:rPr>
                            <w:fldChar w:fldCharType="separate"/>
                          </w:r>
                          <w:r>
                            <w:rPr>
                              <w:rFonts w:hint="eastAsia"/>
                              <w:color w:val="231F20"/>
                              <w:sz w:val="32"/>
                              <w:szCs w:val="24"/>
                            </w:rPr>
                            <w:fldChar w:fldCharType="end"/>
                          </w:r>
                          <w:r>
                            <w:rPr>
                              <w:rFonts w:hint="eastAsia"/>
                              <w:color w:val="231F20"/>
                              <w:sz w:val="32"/>
                              <w:szCs w:val="24"/>
                            </w:rPr>
                            <w:t>—</w:t>
                          </w:r>
                        </w:p>
                      </w:txbxContent>
                    </wps:txbx>
                    <wps:bodyPr vert="horz" wrap="square" lIns="0" tIns="0" rIns="0" bIns="0" upright="true"/>
                  </wps:wsp>
                </a:graphicData>
              </a:graphic>
            </wp:anchor>
          </w:drawing>
        </mc:Choice>
        <mc:Fallback>
          <w:pict>
            <v:shape id="文本框 1" o:spid="_x0000_s1026" o:spt="202" type="#_x0000_t202" style="position:absolute;left:0pt;margin-left:467.65pt;margin-top:775.7pt;height:18pt;width:50pt;mso-position-horizontal-relative:page;mso-position-vertical-relative:page;z-index:-251658240;mso-width-relative:page;mso-height-relative:page;" filled="f" stroked="f" coordsize="21600,21600" o:gfxdata="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lbLGg2gAAAA4BAAAPAAAAAAAAAAEAIAAAADgAAABkcnMv&#10;ZG93bnJldi54bWxQSwECFAAUAAAACACHTuJAekG+XbIBAABEAwAADgAAAAAAAAABACAAAAA/AQAA&#10;ZHJzL2Uyb0RvYy54bWxQSwUGAAAAAAYABgBZAQAAYwUAAAAA&#10;">
              <v:fill on="f" focussize="0,0"/>
              <v:stroke on="f"/>
              <v:imagedata o:title=""/>
              <o:lock v:ext="edit" aspectratio="f"/>
              <v:textbox inset="0mm,0mm,0mm,0mm">
                <w:txbxContent>
                  <w:p>
                    <w:pPr>
                      <w:pStyle w:val="3"/>
                      <w:kinsoku w:val="0"/>
                      <w:overflowPunct w:val="0"/>
                      <w:spacing w:line="360" w:lineRule="exact"/>
                      <w:ind w:left="20"/>
                      <w:rPr>
                        <w:rFonts w:hint="eastAsia"/>
                        <w:color w:val="231F20"/>
                        <w:sz w:val="32"/>
                        <w:szCs w:val="24"/>
                      </w:rPr>
                    </w:pPr>
                    <w:r>
                      <w:rPr>
                        <w:rFonts w:hint="eastAsia"/>
                        <w:color w:val="231F20"/>
                        <w:sz w:val="32"/>
                        <w:szCs w:val="24"/>
                      </w:rPr>
                      <w:t>—</w:t>
                    </w:r>
                    <w:r>
                      <w:rPr>
                        <w:rFonts w:hint="eastAsia"/>
                        <w:color w:val="231F20"/>
                        <w:sz w:val="32"/>
                        <w:szCs w:val="24"/>
                      </w:rPr>
                      <w:fldChar w:fldCharType="begin"/>
                    </w:r>
                    <w:r>
                      <w:rPr>
                        <w:rFonts w:hint="eastAsia"/>
                        <w:color w:val="231F20"/>
                        <w:sz w:val="32"/>
                        <w:szCs w:val="24"/>
                      </w:rPr>
                      <w:instrText xml:space="preserve"> PAGE </w:instrText>
                    </w:r>
                    <w:r>
                      <w:rPr>
                        <w:rFonts w:hint="eastAsia"/>
                        <w:color w:val="231F20"/>
                        <w:sz w:val="32"/>
                        <w:szCs w:val="24"/>
                      </w:rPr>
                      <w:fldChar w:fldCharType="separate"/>
                    </w:r>
                    <w:r>
                      <w:rPr>
                        <w:rFonts w:hint="eastAsia"/>
                        <w:color w:val="231F20"/>
                        <w:sz w:val="32"/>
                        <w:szCs w:val="24"/>
                      </w:rPr>
                      <w:fldChar w:fldCharType="end"/>
                    </w:r>
                    <w:r>
                      <w:rPr>
                        <w:rFonts w:hint="eastAsia"/>
                        <w:color w:val="231F20"/>
                        <w:sz w:val="32"/>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03"/>
    <w:multiLevelType w:val="multilevel"/>
    <w:tmpl w:val="00000403"/>
    <w:lvl w:ilvl="0" w:tentative="0">
      <w:start w:val="1"/>
      <w:numFmt w:val="decimal"/>
      <w:lvlText w:val="%1."/>
      <w:lvlJc w:val="left"/>
      <w:pPr>
        <w:ind w:left="43" w:hanging="402"/>
      </w:pPr>
      <w:rPr>
        <w:rFonts w:hint="eastAsia" w:ascii="仿宋_GB2312" w:hAnsi="仿宋_GB2312" w:eastAsia="仿宋_GB2312"/>
        <w:color w:val="231F20"/>
        <w:sz w:val="32"/>
        <w:u w:val="none" w:color="231F20"/>
      </w:rPr>
    </w:lvl>
    <w:lvl w:ilvl="1" w:tentative="0">
      <w:start w:val="1"/>
      <w:numFmt w:val="bullet"/>
      <w:lvlText w:val="•"/>
      <w:lvlJc w:val="left"/>
      <w:pPr>
        <w:ind w:left="905" w:hanging="402"/>
      </w:pPr>
      <w:rPr>
        <w:rFonts w:hint="default"/>
        <w:u w:val="none" w:color="auto"/>
      </w:rPr>
    </w:lvl>
    <w:lvl w:ilvl="2" w:tentative="0">
      <w:start w:val="1"/>
      <w:numFmt w:val="bullet"/>
      <w:lvlText w:val="•"/>
      <w:lvlJc w:val="left"/>
      <w:pPr>
        <w:ind w:left="1770" w:hanging="402"/>
      </w:pPr>
      <w:rPr>
        <w:rFonts w:hint="default"/>
        <w:u w:val="none" w:color="auto"/>
      </w:rPr>
    </w:lvl>
    <w:lvl w:ilvl="3" w:tentative="0">
      <w:start w:val="1"/>
      <w:numFmt w:val="bullet"/>
      <w:lvlText w:val="•"/>
      <w:lvlJc w:val="left"/>
      <w:pPr>
        <w:ind w:left="2635" w:hanging="402"/>
      </w:pPr>
      <w:rPr>
        <w:rFonts w:hint="default"/>
        <w:u w:val="none" w:color="auto"/>
      </w:rPr>
    </w:lvl>
    <w:lvl w:ilvl="4" w:tentative="0">
      <w:start w:val="1"/>
      <w:numFmt w:val="bullet"/>
      <w:lvlText w:val="•"/>
      <w:lvlJc w:val="left"/>
      <w:pPr>
        <w:ind w:left="3500" w:hanging="402"/>
      </w:pPr>
      <w:rPr>
        <w:rFonts w:hint="default"/>
        <w:u w:val="none" w:color="auto"/>
      </w:rPr>
    </w:lvl>
    <w:lvl w:ilvl="5" w:tentative="0">
      <w:start w:val="1"/>
      <w:numFmt w:val="bullet"/>
      <w:lvlText w:val="•"/>
      <w:lvlJc w:val="left"/>
      <w:pPr>
        <w:ind w:left="4365" w:hanging="402"/>
      </w:pPr>
      <w:rPr>
        <w:rFonts w:hint="default"/>
        <w:u w:val="none" w:color="auto"/>
      </w:rPr>
    </w:lvl>
    <w:lvl w:ilvl="6" w:tentative="0">
      <w:start w:val="1"/>
      <w:numFmt w:val="bullet"/>
      <w:lvlText w:val="•"/>
      <w:lvlJc w:val="left"/>
      <w:pPr>
        <w:ind w:left="5230" w:hanging="402"/>
      </w:pPr>
      <w:rPr>
        <w:rFonts w:hint="default"/>
        <w:u w:val="none" w:color="auto"/>
      </w:rPr>
    </w:lvl>
    <w:lvl w:ilvl="7" w:tentative="0">
      <w:start w:val="1"/>
      <w:numFmt w:val="bullet"/>
      <w:lvlText w:val="•"/>
      <w:lvlJc w:val="left"/>
      <w:pPr>
        <w:ind w:left="6095" w:hanging="402"/>
      </w:pPr>
      <w:rPr>
        <w:rFonts w:hint="default"/>
        <w:u w:val="none" w:color="auto"/>
      </w:rPr>
    </w:lvl>
    <w:lvl w:ilvl="8" w:tentative="0">
      <w:start w:val="1"/>
      <w:numFmt w:val="bullet"/>
      <w:lvlText w:val="•"/>
      <w:lvlJc w:val="left"/>
      <w:pPr>
        <w:ind w:left="6960" w:hanging="402"/>
      </w:pPr>
      <w:rPr>
        <w:rFonts w:hint="default"/>
        <w:u w:val="none" w:color="auto"/>
      </w:rPr>
    </w:lvl>
  </w:abstractNum>
  <w:abstractNum w:abstractNumId="1">
    <w:nsid w:val="00000404"/>
    <w:multiLevelType w:val="multilevel"/>
    <w:tmpl w:val="00000404"/>
    <w:lvl w:ilvl="0" w:tentative="0">
      <w:start w:val="1"/>
      <w:numFmt w:val="decimal"/>
      <w:lvlText w:val="%1."/>
      <w:lvlJc w:val="left"/>
      <w:pPr>
        <w:ind w:left="69" w:hanging="402"/>
      </w:pPr>
      <w:rPr>
        <w:rFonts w:hint="eastAsia" w:ascii="仿宋_GB2312" w:hAnsi="仿宋_GB2312" w:eastAsia="仿宋_GB2312"/>
        <w:color w:val="231F20"/>
        <w:sz w:val="32"/>
        <w:u w:val="none" w:color="231F20"/>
      </w:rPr>
    </w:lvl>
    <w:lvl w:ilvl="1" w:tentative="0">
      <w:start w:val="1"/>
      <w:numFmt w:val="bullet"/>
      <w:lvlText w:val="•"/>
      <w:lvlJc w:val="left"/>
      <w:pPr>
        <w:ind w:left="937" w:hanging="402"/>
      </w:pPr>
      <w:rPr>
        <w:rFonts w:hint="default"/>
        <w:u w:val="none" w:color="auto"/>
      </w:rPr>
    </w:lvl>
    <w:lvl w:ilvl="2" w:tentative="0">
      <w:start w:val="1"/>
      <w:numFmt w:val="bullet"/>
      <w:lvlText w:val="•"/>
      <w:lvlJc w:val="left"/>
      <w:pPr>
        <w:ind w:left="1814" w:hanging="402"/>
      </w:pPr>
      <w:rPr>
        <w:rFonts w:hint="default"/>
        <w:u w:val="none" w:color="auto"/>
      </w:rPr>
    </w:lvl>
    <w:lvl w:ilvl="3" w:tentative="0">
      <w:start w:val="1"/>
      <w:numFmt w:val="bullet"/>
      <w:lvlText w:val="•"/>
      <w:lvlJc w:val="left"/>
      <w:pPr>
        <w:ind w:left="2691" w:hanging="402"/>
      </w:pPr>
      <w:rPr>
        <w:rFonts w:hint="default"/>
        <w:u w:val="none" w:color="auto"/>
      </w:rPr>
    </w:lvl>
    <w:lvl w:ilvl="4" w:tentative="0">
      <w:start w:val="1"/>
      <w:numFmt w:val="bullet"/>
      <w:lvlText w:val="•"/>
      <w:lvlJc w:val="left"/>
      <w:pPr>
        <w:ind w:left="3569" w:hanging="402"/>
      </w:pPr>
      <w:rPr>
        <w:rFonts w:hint="default"/>
        <w:u w:val="none" w:color="auto"/>
      </w:rPr>
    </w:lvl>
    <w:lvl w:ilvl="5" w:tentative="0">
      <w:start w:val="1"/>
      <w:numFmt w:val="bullet"/>
      <w:lvlText w:val="•"/>
      <w:lvlJc w:val="left"/>
      <w:pPr>
        <w:ind w:left="4446" w:hanging="402"/>
      </w:pPr>
      <w:rPr>
        <w:rFonts w:hint="default"/>
        <w:u w:val="none" w:color="auto"/>
      </w:rPr>
    </w:lvl>
    <w:lvl w:ilvl="6" w:tentative="0">
      <w:start w:val="1"/>
      <w:numFmt w:val="bullet"/>
      <w:lvlText w:val="•"/>
      <w:lvlJc w:val="left"/>
      <w:pPr>
        <w:ind w:left="5323" w:hanging="402"/>
      </w:pPr>
      <w:rPr>
        <w:rFonts w:hint="default"/>
        <w:u w:val="none" w:color="auto"/>
      </w:rPr>
    </w:lvl>
    <w:lvl w:ilvl="7" w:tentative="0">
      <w:start w:val="1"/>
      <w:numFmt w:val="bullet"/>
      <w:lvlText w:val="•"/>
      <w:lvlJc w:val="left"/>
      <w:pPr>
        <w:ind w:left="6200" w:hanging="402"/>
      </w:pPr>
      <w:rPr>
        <w:rFonts w:hint="default"/>
        <w:u w:val="none" w:color="auto"/>
      </w:rPr>
    </w:lvl>
    <w:lvl w:ilvl="8" w:tentative="0">
      <w:start w:val="1"/>
      <w:numFmt w:val="bullet"/>
      <w:lvlText w:val="•"/>
      <w:lvlJc w:val="left"/>
      <w:pPr>
        <w:ind w:left="7078" w:hanging="402"/>
      </w:pPr>
      <w:rPr>
        <w:rFonts w:hint="default"/>
        <w:u w:val="none" w:color="auto"/>
      </w:rPr>
    </w:lvl>
  </w:abstractNum>
  <w:abstractNum w:abstractNumId="2">
    <w:nsid w:val="00000405"/>
    <w:multiLevelType w:val="multilevel"/>
    <w:tmpl w:val="00000405"/>
    <w:lvl w:ilvl="0" w:tentative="0">
      <w:start w:val="1"/>
      <w:numFmt w:val="decimal"/>
      <w:lvlText w:val="%1."/>
      <w:lvlJc w:val="left"/>
      <w:pPr>
        <w:ind w:left="69" w:hanging="403"/>
      </w:pPr>
      <w:rPr>
        <w:rFonts w:hint="eastAsia" w:ascii="仿宋_GB2312" w:hAnsi="仿宋_GB2312" w:eastAsia="仿宋_GB2312"/>
        <w:color w:val="231F20"/>
        <w:sz w:val="32"/>
        <w:u w:val="none" w:color="231F20"/>
      </w:rPr>
    </w:lvl>
    <w:lvl w:ilvl="1" w:tentative="0">
      <w:start w:val="1"/>
      <w:numFmt w:val="bullet"/>
      <w:lvlText w:val="•"/>
      <w:lvlJc w:val="left"/>
      <w:pPr>
        <w:ind w:left="937" w:hanging="403"/>
      </w:pPr>
      <w:rPr>
        <w:rFonts w:hint="default"/>
        <w:u w:val="none" w:color="auto"/>
      </w:rPr>
    </w:lvl>
    <w:lvl w:ilvl="2" w:tentative="0">
      <w:start w:val="1"/>
      <w:numFmt w:val="bullet"/>
      <w:lvlText w:val="•"/>
      <w:lvlJc w:val="left"/>
      <w:pPr>
        <w:ind w:left="1814" w:hanging="403"/>
      </w:pPr>
      <w:rPr>
        <w:rFonts w:hint="default"/>
        <w:u w:val="none" w:color="auto"/>
      </w:rPr>
    </w:lvl>
    <w:lvl w:ilvl="3" w:tentative="0">
      <w:start w:val="1"/>
      <w:numFmt w:val="bullet"/>
      <w:lvlText w:val="•"/>
      <w:lvlJc w:val="left"/>
      <w:pPr>
        <w:ind w:left="2691" w:hanging="403"/>
      </w:pPr>
      <w:rPr>
        <w:rFonts w:hint="default"/>
        <w:u w:val="none" w:color="auto"/>
      </w:rPr>
    </w:lvl>
    <w:lvl w:ilvl="4" w:tentative="0">
      <w:start w:val="1"/>
      <w:numFmt w:val="bullet"/>
      <w:lvlText w:val="•"/>
      <w:lvlJc w:val="left"/>
      <w:pPr>
        <w:ind w:left="3569" w:hanging="403"/>
      </w:pPr>
      <w:rPr>
        <w:rFonts w:hint="default"/>
        <w:u w:val="none" w:color="auto"/>
      </w:rPr>
    </w:lvl>
    <w:lvl w:ilvl="5" w:tentative="0">
      <w:start w:val="1"/>
      <w:numFmt w:val="bullet"/>
      <w:lvlText w:val="•"/>
      <w:lvlJc w:val="left"/>
      <w:pPr>
        <w:ind w:left="4446" w:hanging="403"/>
      </w:pPr>
      <w:rPr>
        <w:rFonts w:hint="default"/>
        <w:u w:val="none" w:color="auto"/>
      </w:rPr>
    </w:lvl>
    <w:lvl w:ilvl="6" w:tentative="0">
      <w:start w:val="1"/>
      <w:numFmt w:val="bullet"/>
      <w:lvlText w:val="•"/>
      <w:lvlJc w:val="left"/>
      <w:pPr>
        <w:ind w:left="5323" w:hanging="403"/>
      </w:pPr>
      <w:rPr>
        <w:rFonts w:hint="default"/>
        <w:u w:val="none" w:color="auto"/>
      </w:rPr>
    </w:lvl>
    <w:lvl w:ilvl="7" w:tentative="0">
      <w:start w:val="1"/>
      <w:numFmt w:val="bullet"/>
      <w:lvlText w:val="•"/>
      <w:lvlJc w:val="left"/>
      <w:pPr>
        <w:ind w:left="6201" w:hanging="403"/>
      </w:pPr>
      <w:rPr>
        <w:rFonts w:hint="default"/>
        <w:u w:val="none" w:color="auto"/>
      </w:rPr>
    </w:lvl>
    <w:lvl w:ilvl="8" w:tentative="0">
      <w:start w:val="1"/>
      <w:numFmt w:val="bullet"/>
      <w:lvlText w:val="•"/>
      <w:lvlJc w:val="left"/>
      <w:pPr>
        <w:ind w:left="7078" w:hanging="403"/>
      </w:pPr>
      <w:rPr>
        <w:rFonts w:hint="default"/>
        <w:u w:val="none" w:color="auto"/>
      </w:rPr>
    </w:lvl>
  </w:abstractNum>
  <w:abstractNum w:abstractNumId="3">
    <w:nsid w:val="00000406"/>
    <w:multiLevelType w:val="multilevel"/>
    <w:tmpl w:val="00000406"/>
    <w:lvl w:ilvl="0" w:tentative="0">
      <w:start w:val="1"/>
      <w:numFmt w:val="decimal"/>
      <w:lvlText w:val="%1."/>
      <w:lvlJc w:val="left"/>
      <w:pPr>
        <w:ind w:left="69" w:hanging="402"/>
      </w:pPr>
      <w:rPr>
        <w:rFonts w:hint="eastAsia" w:ascii="仿宋_GB2312" w:hAnsi="仿宋_GB2312" w:eastAsia="仿宋_GB2312"/>
        <w:color w:val="231F20"/>
        <w:sz w:val="32"/>
        <w:u w:val="none" w:color="231F20"/>
      </w:rPr>
    </w:lvl>
    <w:lvl w:ilvl="1" w:tentative="0">
      <w:start w:val="1"/>
      <w:numFmt w:val="bullet"/>
      <w:lvlText w:val="•"/>
      <w:lvlJc w:val="left"/>
      <w:pPr>
        <w:ind w:left="937" w:hanging="402"/>
      </w:pPr>
      <w:rPr>
        <w:rFonts w:hint="default"/>
        <w:u w:val="none" w:color="auto"/>
      </w:rPr>
    </w:lvl>
    <w:lvl w:ilvl="2" w:tentative="0">
      <w:start w:val="1"/>
      <w:numFmt w:val="bullet"/>
      <w:lvlText w:val="•"/>
      <w:lvlJc w:val="left"/>
      <w:pPr>
        <w:ind w:left="1814" w:hanging="402"/>
      </w:pPr>
      <w:rPr>
        <w:rFonts w:hint="default"/>
        <w:u w:val="none" w:color="auto"/>
      </w:rPr>
    </w:lvl>
    <w:lvl w:ilvl="3" w:tentative="0">
      <w:start w:val="1"/>
      <w:numFmt w:val="bullet"/>
      <w:lvlText w:val="•"/>
      <w:lvlJc w:val="left"/>
      <w:pPr>
        <w:ind w:left="2691" w:hanging="402"/>
      </w:pPr>
      <w:rPr>
        <w:rFonts w:hint="default"/>
        <w:u w:val="none" w:color="auto"/>
      </w:rPr>
    </w:lvl>
    <w:lvl w:ilvl="4" w:tentative="0">
      <w:start w:val="1"/>
      <w:numFmt w:val="bullet"/>
      <w:lvlText w:val="•"/>
      <w:lvlJc w:val="left"/>
      <w:pPr>
        <w:ind w:left="3569" w:hanging="402"/>
      </w:pPr>
      <w:rPr>
        <w:rFonts w:hint="default"/>
        <w:u w:val="none" w:color="auto"/>
      </w:rPr>
    </w:lvl>
    <w:lvl w:ilvl="5" w:tentative="0">
      <w:start w:val="1"/>
      <w:numFmt w:val="bullet"/>
      <w:lvlText w:val="•"/>
      <w:lvlJc w:val="left"/>
      <w:pPr>
        <w:ind w:left="4446" w:hanging="402"/>
      </w:pPr>
      <w:rPr>
        <w:rFonts w:hint="default"/>
        <w:u w:val="none" w:color="auto"/>
      </w:rPr>
    </w:lvl>
    <w:lvl w:ilvl="6" w:tentative="0">
      <w:start w:val="1"/>
      <w:numFmt w:val="bullet"/>
      <w:lvlText w:val="•"/>
      <w:lvlJc w:val="left"/>
      <w:pPr>
        <w:ind w:left="5323" w:hanging="402"/>
      </w:pPr>
      <w:rPr>
        <w:rFonts w:hint="default"/>
        <w:u w:val="none" w:color="auto"/>
      </w:rPr>
    </w:lvl>
    <w:lvl w:ilvl="7" w:tentative="0">
      <w:start w:val="1"/>
      <w:numFmt w:val="bullet"/>
      <w:lvlText w:val="•"/>
      <w:lvlJc w:val="left"/>
      <w:pPr>
        <w:ind w:left="6200" w:hanging="402"/>
      </w:pPr>
      <w:rPr>
        <w:rFonts w:hint="default"/>
        <w:u w:val="none" w:color="auto"/>
      </w:rPr>
    </w:lvl>
    <w:lvl w:ilvl="8" w:tentative="0">
      <w:start w:val="1"/>
      <w:numFmt w:val="bullet"/>
      <w:lvlText w:val="•"/>
      <w:lvlJc w:val="left"/>
      <w:pPr>
        <w:ind w:left="7078" w:hanging="402"/>
      </w:pPr>
      <w:rPr>
        <w:rFonts w:hint="default"/>
        <w:u w:val="none" w:color="auto"/>
      </w:rPr>
    </w:lvl>
  </w:abstractNum>
  <w:abstractNum w:abstractNumId="4">
    <w:nsid w:val="00000407"/>
    <w:multiLevelType w:val="multilevel"/>
    <w:tmpl w:val="00000407"/>
    <w:lvl w:ilvl="0" w:tentative="0">
      <w:start w:val="1"/>
      <w:numFmt w:val="decimal"/>
      <w:lvlText w:val="%1."/>
      <w:lvlJc w:val="left"/>
      <w:pPr>
        <w:ind w:left="347" w:hanging="403"/>
      </w:pPr>
      <w:rPr>
        <w:rFonts w:hint="eastAsia" w:ascii="仿宋_GB2312" w:hAnsi="仿宋_GB2312" w:eastAsia="仿宋_GB2312"/>
        <w:color w:val="231F20"/>
        <w:sz w:val="32"/>
        <w:u w:val="none" w:color="231F20"/>
      </w:rPr>
    </w:lvl>
    <w:lvl w:ilvl="1" w:tentative="0">
      <w:start w:val="1"/>
      <w:numFmt w:val="bullet"/>
      <w:lvlText w:val="•"/>
      <w:lvlJc w:val="left"/>
      <w:pPr>
        <w:ind w:left="1234" w:hanging="403"/>
      </w:pPr>
      <w:rPr>
        <w:rFonts w:hint="default"/>
        <w:u w:val="none" w:color="auto"/>
      </w:rPr>
    </w:lvl>
    <w:lvl w:ilvl="2" w:tentative="0">
      <w:start w:val="1"/>
      <w:numFmt w:val="bullet"/>
      <w:lvlText w:val="•"/>
      <w:lvlJc w:val="left"/>
      <w:pPr>
        <w:ind w:left="2129" w:hanging="403"/>
      </w:pPr>
      <w:rPr>
        <w:rFonts w:hint="default"/>
        <w:u w:val="none" w:color="auto"/>
      </w:rPr>
    </w:lvl>
    <w:lvl w:ilvl="3" w:tentative="0">
      <w:start w:val="1"/>
      <w:numFmt w:val="bullet"/>
      <w:lvlText w:val="•"/>
      <w:lvlJc w:val="left"/>
      <w:pPr>
        <w:ind w:left="3023" w:hanging="403"/>
      </w:pPr>
      <w:rPr>
        <w:rFonts w:hint="default"/>
        <w:u w:val="none" w:color="auto"/>
      </w:rPr>
    </w:lvl>
    <w:lvl w:ilvl="4" w:tentative="0">
      <w:start w:val="1"/>
      <w:numFmt w:val="bullet"/>
      <w:lvlText w:val="•"/>
      <w:lvlJc w:val="left"/>
      <w:pPr>
        <w:ind w:left="3918" w:hanging="403"/>
      </w:pPr>
      <w:rPr>
        <w:rFonts w:hint="default"/>
        <w:u w:val="none" w:color="auto"/>
      </w:rPr>
    </w:lvl>
    <w:lvl w:ilvl="5" w:tentative="0">
      <w:start w:val="1"/>
      <w:numFmt w:val="bullet"/>
      <w:lvlText w:val="•"/>
      <w:lvlJc w:val="left"/>
      <w:pPr>
        <w:ind w:left="4812" w:hanging="403"/>
      </w:pPr>
      <w:rPr>
        <w:rFonts w:hint="default"/>
        <w:u w:val="none" w:color="auto"/>
      </w:rPr>
    </w:lvl>
    <w:lvl w:ilvl="6" w:tentative="0">
      <w:start w:val="1"/>
      <w:numFmt w:val="bullet"/>
      <w:lvlText w:val="•"/>
      <w:lvlJc w:val="left"/>
      <w:pPr>
        <w:ind w:left="5707" w:hanging="403"/>
      </w:pPr>
      <w:rPr>
        <w:rFonts w:hint="default"/>
        <w:u w:val="none" w:color="auto"/>
      </w:rPr>
    </w:lvl>
    <w:lvl w:ilvl="7" w:tentative="0">
      <w:start w:val="1"/>
      <w:numFmt w:val="bullet"/>
      <w:lvlText w:val="•"/>
      <w:lvlJc w:val="left"/>
      <w:pPr>
        <w:ind w:left="6601" w:hanging="403"/>
      </w:pPr>
      <w:rPr>
        <w:rFonts w:hint="default"/>
        <w:u w:val="none" w:color="auto"/>
      </w:rPr>
    </w:lvl>
    <w:lvl w:ilvl="8" w:tentative="0">
      <w:start w:val="1"/>
      <w:numFmt w:val="bullet"/>
      <w:lvlText w:val="•"/>
      <w:lvlJc w:val="left"/>
      <w:pPr>
        <w:ind w:left="7496" w:hanging="403"/>
      </w:pPr>
      <w:rPr>
        <w:rFonts w:hint="default"/>
        <w:u w:val="none" w:color="auto"/>
      </w:rPr>
    </w:lvl>
  </w:abstractNum>
  <w:abstractNum w:abstractNumId="5">
    <w:nsid w:val="00000408"/>
    <w:multiLevelType w:val="multilevel"/>
    <w:tmpl w:val="00000408"/>
    <w:lvl w:ilvl="0" w:tentative="0">
      <w:start w:val="1"/>
      <w:numFmt w:val="decimal"/>
      <w:lvlText w:val="%1."/>
      <w:lvlJc w:val="left"/>
      <w:pPr>
        <w:ind w:left="69" w:hanging="403"/>
      </w:pPr>
      <w:rPr>
        <w:rFonts w:hint="eastAsia" w:ascii="仿宋_GB2312" w:hAnsi="仿宋_GB2312" w:eastAsia="仿宋_GB2312"/>
        <w:color w:val="231F20"/>
        <w:sz w:val="32"/>
        <w:u w:val="none" w:color="231F20"/>
      </w:rPr>
    </w:lvl>
    <w:lvl w:ilvl="1" w:tentative="0">
      <w:start w:val="1"/>
      <w:numFmt w:val="bullet"/>
      <w:lvlText w:val="•"/>
      <w:lvlJc w:val="left"/>
      <w:pPr>
        <w:ind w:left="937" w:hanging="403"/>
      </w:pPr>
      <w:rPr>
        <w:rFonts w:hint="default"/>
        <w:u w:val="none" w:color="auto"/>
      </w:rPr>
    </w:lvl>
    <w:lvl w:ilvl="2" w:tentative="0">
      <w:start w:val="1"/>
      <w:numFmt w:val="bullet"/>
      <w:lvlText w:val="•"/>
      <w:lvlJc w:val="left"/>
      <w:pPr>
        <w:ind w:left="1814" w:hanging="403"/>
      </w:pPr>
      <w:rPr>
        <w:rFonts w:hint="default"/>
        <w:u w:val="none" w:color="auto"/>
      </w:rPr>
    </w:lvl>
    <w:lvl w:ilvl="3" w:tentative="0">
      <w:start w:val="1"/>
      <w:numFmt w:val="bullet"/>
      <w:lvlText w:val="•"/>
      <w:lvlJc w:val="left"/>
      <w:pPr>
        <w:ind w:left="2691" w:hanging="403"/>
      </w:pPr>
      <w:rPr>
        <w:rFonts w:hint="default"/>
        <w:u w:val="none" w:color="auto"/>
      </w:rPr>
    </w:lvl>
    <w:lvl w:ilvl="4" w:tentative="0">
      <w:start w:val="1"/>
      <w:numFmt w:val="bullet"/>
      <w:lvlText w:val="•"/>
      <w:lvlJc w:val="left"/>
      <w:pPr>
        <w:ind w:left="3569" w:hanging="403"/>
      </w:pPr>
      <w:rPr>
        <w:rFonts w:hint="default"/>
        <w:u w:val="none" w:color="auto"/>
      </w:rPr>
    </w:lvl>
    <w:lvl w:ilvl="5" w:tentative="0">
      <w:start w:val="1"/>
      <w:numFmt w:val="bullet"/>
      <w:lvlText w:val="•"/>
      <w:lvlJc w:val="left"/>
      <w:pPr>
        <w:ind w:left="4446" w:hanging="403"/>
      </w:pPr>
      <w:rPr>
        <w:rFonts w:hint="default"/>
        <w:u w:val="none" w:color="auto"/>
      </w:rPr>
    </w:lvl>
    <w:lvl w:ilvl="6" w:tentative="0">
      <w:start w:val="1"/>
      <w:numFmt w:val="bullet"/>
      <w:lvlText w:val="•"/>
      <w:lvlJc w:val="left"/>
      <w:pPr>
        <w:ind w:left="5323" w:hanging="403"/>
      </w:pPr>
      <w:rPr>
        <w:rFonts w:hint="default"/>
        <w:u w:val="none" w:color="auto"/>
      </w:rPr>
    </w:lvl>
    <w:lvl w:ilvl="7" w:tentative="0">
      <w:start w:val="1"/>
      <w:numFmt w:val="bullet"/>
      <w:lvlText w:val="•"/>
      <w:lvlJc w:val="left"/>
      <w:pPr>
        <w:ind w:left="6200" w:hanging="403"/>
      </w:pPr>
      <w:rPr>
        <w:rFonts w:hint="default"/>
        <w:u w:val="none" w:color="auto"/>
      </w:rPr>
    </w:lvl>
    <w:lvl w:ilvl="8" w:tentative="0">
      <w:start w:val="1"/>
      <w:numFmt w:val="bullet"/>
      <w:lvlText w:val="•"/>
      <w:lvlJc w:val="left"/>
      <w:pPr>
        <w:ind w:left="7078" w:hanging="403"/>
      </w:pPr>
      <w:rPr>
        <w:rFonts w:hint="default"/>
        <w:u w:val="none" w:color="auto"/>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evenAndOddHeaders w:val="true"/>
  <w:drawingGridHorizontalSpacing w:val="120"/>
  <w:drawingGridVerticalSpacing w:val="120"/>
  <w:displayHorizontalDrawingGridEvery w:val="3"/>
  <w:displayVerticalDrawingGridEvery w:val="3"/>
  <w:doNotUseMarginsForDrawingGridOrigin w:val="true"/>
  <w:drawingGridHorizontalOrigin w:val="1701"/>
  <w:drawingGridVerticalOrigin w:val="1984"/>
  <w:doNotShadeFormData w:val="true"/>
  <w:characterSpacingControl w:val="doNotCompress"/>
  <w:doNotValidateAgainstSchema/>
  <w:doNotDemarcateInvalidXml/>
  <w:hdrShapeDefaults>
    <o:shapelayout v:ext="edit">
      <o:idmap v:ext="edit" data="1"/>
    </o:shapelayout>
  </w:hdrShapeDefaults>
  <w:compat>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CFDC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iPriority="1" w:semiHidden="0" w:name="List Paragraph"/>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仿宋_GB2312" w:hAnsi="仿宋_GB2312" w:eastAsia="仿宋_GB2312"/>
      <w:sz w:val="22"/>
      <w:szCs w:val="24"/>
    </w:rPr>
  </w:style>
  <w:style w:type="paragraph" w:styleId="2">
    <w:name w:val="heading 1"/>
    <w:basedOn w:val="1"/>
    <w:unhideWhenUsed/>
    <w:qFormat/>
    <w:uiPriority w:val="1"/>
    <w:pPr>
      <w:jc w:val="center"/>
      <w:outlineLvl w:val="0"/>
    </w:pPr>
    <w:rPr>
      <w:rFonts w:hint="eastAsia" w:ascii="方正小标宋简体" w:hAnsi="方正小标宋简体" w:eastAsia="方正小标宋简体"/>
      <w:sz w:val="40"/>
      <w:szCs w:val="24"/>
    </w:rPr>
  </w:style>
  <w:style w:type="character" w:default="1" w:styleId="5">
    <w:name w:val="Default Paragraph Font"/>
    <w:unhideWhenUsed/>
    <w:uiPriority w:val="99"/>
    <w:rPr>
      <w:rFonts w:hint="default"/>
      <w:sz w:val="24"/>
      <w:szCs w:val="24"/>
    </w:rPr>
  </w:style>
  <w:style w:type="table" w:default="1" w:styleId="4">
    <w:name w:val="Normal Table"/>
    <w:qFormat/>
    <w:uiPriority w:val="99"/>
    <w:tblPr>
      <w:tblCellMar>
        <w:top w:w="0" w:type="dxa"/>
        <w:left w:w="108" w:type="dxa"/>
        <w:bottom w:w="0" w:type="dxa"/>
        <w:right w:w="108" w:type="dxa"/>
      </w:tblCellMar>
    </w:tblPr>
  </w:style>
  <w:style w:type="paragraph" w:styleId="3">
    <w:name w:val="Body Text"/>
    <w:basedOn w:val="1"/>
    <w:unhideWhenUsed/>
    <w:qFormat/>
    <w:uiPriority w:val="1"/>
    <w:pPr>
      <w:ind w:left="277"/>
    </w:pPr>
    <w:rPr>
      <w:rFonts w:hint="eastAsia"/>
      <w:sz w:val="32"/>
      <w:szCs w:val="24"/>
    </w:rPr>
  </w:style>
  <w:style w:type="paragraph" w:customStyle="1" w:styleId="6">
    <w:name w:val="Table Paragraph"/>
    <w:basedOn w:val="1"/>
    <w:unhideWhenUsed/>
    <w:qFormat/>
    <w:uiPriority w:val="1"/>
    <w:rPr>
      <w:rFonts w:hint="eastAsia"/>
      <w:sz w:val="24"/>
      <w:szCs w:val="24"/>
    </w:rPr>
  </w:style>
  <w:style w:type="paragraph" w:styleId="7">
    <w:name w:val="List Paragraph"/>
    <w:basedOn w:val="1"/>
    <w:unhideWhenUsed/>
    <w:qFormat/>
    <w:uiPriority w:val="1"/>
    <w:pPr>
      <w:ind w:left="335" w:right="345" w:firstLine="680"/>
      <w:jc w:val="both"/>
    </w:pPr>
    <w:rPr>
      <w:rFonts w:hint="eastAsi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2022-01-17T11:58:13Z</dcterms:created>
  <dc:creator>lzxq</dc:creator>
  <cp:lastModifiedBy>lzxq</cp:lastModifiedBy>
  <dcterms:modified xsi:type="dcterms:W3CDTF">2022-01-17T11:59:17Z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