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40" w:lineRule="exact"/>
        <w:jc w:val="both"/>
        <w:rPr>
          <w:rFonts w:hint="default" w:ascii="黑体" w:hAnsi="黑体" w:eastAsia="黑体"/>
          <w:b w:val="0"/>
          <w:bCs/>
          <w:sz w:val="28"/>
          <w:szCs w:val="28"/>
          <w:lang w:val="en-US" w:eastAsia="zh-CN"/>
        </w:rPr>
      </w:pPr>
      <w:bookmarkStart w:id="0" w:name="_GoBack"/>
      <w:bookmarkEnd w:id="0"/>
      <w:r>
        <w:rPr>
          <w:rFonts w:hint="eastAsia" w:ascii="黑体" w:hAnsi="黑体" w:eastAsia="黑体"/>
          <w:b w:val="0"/>
          <w:bCs/>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72"/>
          <w:szCs w:val="72"/>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72"/>
          <w:szCs w:val="72"/>
          <w:u w:val="none"/>
          <w:lang w:val="en-US" w:eastAsia="zh-CN"/>
        </w:rPr>
      </w:pPr>
      <w:r>
        <w:rPr>
          <w:rFonts w:hint="eastAsia" w:ascii="宋体" w:hAnsi="宋体" w:eastAsia="宋体" w:cs="宋体"/>
          <w:b/>
          <w:bCs w:val="0"/>
          <w:sz w:val="72"/>
          <w:szCs w:val="72"/>
          <w:u w:val="none"/>
          <w:lang w:val="en-US" w:eastAsia="zh-CN"/>
        </w:rPr>
        <w:t>政府采购项目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72"/>
          <w:szCs w:val="72"/>
          <w:u w:val="none"/>
          <w:lang w:val="en-US" w:eastAsia="zh-CN"/>
        </w:rPr>
      </w:pPr>
      <w:r>
        <w:rPr>
          <w:rFonts w:hint="eastAsia" w:ascii="宋体" w:hAnsi="宋体" w:eastAsia="宋体" w:cs="宋体"/>
          <w:b/>
          <w:bCs w:val="0"/>
          <w:sz w:val="72"/>
          <w:szCs w:val="72"/>
          <w:u w:val="none"/>
          <w:lang w:val="en-US" w:eastAsia="zh-CN"/>
        </w:rPr>
        <w:t>采购需求和采购实施计划</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72"/>
          <w:szCs w:val="72"/>
          <w:u w:val="none"/>
          <w:lang w:val="en-US" w:eastAsia="zh-CN"/>
        </w:rPr>
      </w:pPr>
      <w:r>
        <w:rPr>
          <w:rFonts w:hint="eastAsia" w:ascii="宋体" w:hAnsi="宋体" w:eastAsia="宋体" w:cs="宋体"/>
          <w:b/>
          <w:bCs w:val="0"/>
          <w:sz w:val="72"/>
          <w:szCs w:val="72"/>
          <w:u w:val="none"/>
          <w:lang w:val="en-US" w:eastAsia="zh-CN"/>
        </w:rPr>
        <w:t>重点性审查意见书</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u w:val="single"/>
          <w:lang w:val="en-US" w:eastAsia="zh-CN"/>
        </w:rPr>
      </w:pPr>
      <w:r>
        <w:rPr>
          <w:rFonts w:hint="eastAsia" w:ascii="黑体" w:hAnsi="黑体" w:eastAsia="黑体"/>
          <w:b w:val="0"/>
          <w:bCs/>
          <w:sz w:val="32"/>
          <w:szCs w:val="32"/>
          <w:lang w:val="en-US" w:eastAsia="zh-CN"/>
        </w:rPr>
        <w:t>项目名称：</w:t>
      </w:r>
      <w:r>
        <w:rPr>
          <w:rFonts w:hint="eastAsia" w:ascii="黑体" w:hAnsi="黑体" w:eastAsia="黑体"/>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lang w:val="en-US" w:eastAsia="zh-CN"/>
        </w:rPr>
      </w:pPr>
      <w:r>
        <w:rPr>
          <w:rFonts w:hint="eastAsia" w:ascii="黑体" w:hAnsi="黑体" w:eastAsia="黑体"/>
          <w:b w:val="0"/>
          <w:bCs/>
          <w:sz w:val="32"/>
          <w:szCs w:val="32"/>
          <w:lang w:val="en-US" w:eastAsia="zh-CN"/>
        </w:rPr>
        <w:t>采购单位：</w:t>
      </w:r>
      <w:r>
        <w:rPr>
          <w:rFonts w:hint="eastAsia" w:ascii="黑体" w:hAnsi="黑体" w:eastAsia="黑体"/>
          <w:b w:val="0"/>
          <w:bCs/>
          <w:sz w:val="32"/>
          <w:szCs w:val="32"/>
          <w:u w:val="single"/>
          <w:lang w:val="en-US" w:eastAsia="zh-CN"/>
        </w:rPr>
        <w:t xml:space="preserve">                         </w:t>
      </w:r>
      <w:r>
        <w:rPr>
          <w:rFonts w:hint="eastAsia" w:ascii="黑体" w:hAnsi="黑体" w:eastAsia="黑体"/>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u w:val="single"/>
          <w:lang w:val="en-US" w:eastAsia="zh-CN"/>
        </w:rPr>
      </w:pPr>
      <w:r>
        <w:rPr>
          <w:rFonts w:hint="eastAsia" w:ascii="黑体" w:hAnsi="黑体" w:eastAsia="黑体"/>
          <w:b w:val="0"/>
          <w:bCs/>
          <w:sz w:val="32"/>
          <w:szCs w:val="32"/>
          <w:lang w:val="en-US" w:eastAsia="zh-CN"/>
        </w:rPr>
        <w:t>编制单位：</w:t>
      </w:r>
      <w:r>
        <w:rPr>
          <w:rFonts w:hint="eastAsia" w:ascii="黑体" w:hAnsi="黑体" w:eastAsia="黑体"/>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80" w:firstLineChars="400"/>
        <w:jc w:val="both"/>
        <w:textAlignment w:val="auto"/>
        <w:rPr>
          <w:rFonts w:hint="default" w:ascii="黑体" w:hAnsi="黑体" w:eastAsia="黑体"/>
          <w:b w:val="0"/>
          <w:bCs/>
          <w:sz w:val="32"/>
          <w:szCs w:val="32"/>
          <w:u w:val="single"/>
          <w:lang w:val="en-US" w:eastAsia="zh-CN"/>
        </w:rPr>
      </w:pPr>
      <w:r>
        <w:rPr>
          <w:rFonts w:hint="eastAsia" w:ascii="黑体" w:hAnsi="黑体" w:eastAsia="黑体"/>
          <w:b w:val="0"/>
          <w:bCs/>
          <w:sz w:val="32"/>
          <w:szCs w:val="32"/>
          <w:lang w:val="en-US" w:eastAsia="zh-CN"/>
        </w:rPr>
        <w:t>编制时间：</w:t>
      </w:r>
      <w:r>
        <w:rPr>
          <w:rFonts w:hint="eastAsia" w:ascii="黑体" w:hAnsi="黑体" w:eastAsia="黑体"/>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124" w:firstLineChars="400"/>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1124" w:firstLineChars="400"/>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b/>
          <w:bCs w:val="0"/>
          <w:sz w:val="28"/>
          <w:szCs w:val="28"/>
          <w:lang w:val="en-US" w:eastAsia="zh-CN"/>
        </w:rPr>
      </w:pPr>
    </w:p>
    <w:p>
      <w:pPr>
        <w:numPr>
          <w:ilvl w:val="0"/>
          <w:numId w:val="0"/>
        </w:numPr>
        <w:spacing w:line="500" w:lineRule="exact"/>
        <w:jc w:val="left"/>
        <w:rPr>
          <w:rFonts w:hint="eastAsia" w:ascii="黑体" w:hAnsi="黑体" w:eastAsia="黑体" w:cs="黑体"/>
          <w:b w:val="0"/>
          <w:bCs/>
          <w:w w:val="85"/>
          <w:sz w:val="36"/>
          <w:szCs w:val="36"/>
          <w:lang w:val="en-US" w:eastAsia="zh-CN"/>
        </w:rPr>
      </w:pPr>
    </w:p>
    <w:p>
      <w:pPr>
        <w:numPr>
          <w:ilvl w:val="0"/>
          <w:numId w:val="0"/>
        </w:numPr>
        <w:spacing w:line="500" w:lineRule="exact"/>
        <w:jc w:val="left"/>
        <w:rPr>
          <w:rFonts w:hint="eastAsia" w:ascii="黑体" w:hAnsi="黑体" w:eastAsia="黑体" w:cs="黑体"/>
          <w:b w:val="0"/>
          <w:bCs/>
          <w:w w:val="85"/>
          <w:sz w:val="36"/>
          <w:szCs w:val="36"/>
          <w:lang w:val="en-US" w:eastAsia="zh-CN"/>
        </w:rPr>
        <w:sectPr>
          <w:footerReference r:id="rId3" w:type="default"/>
          <w:pgSz w:w="11906" w:h="16838"/>
          <w:pgMar w:top="1440" w:right="1800" w:bottom="1440" w:left="1800" w:header="851" w:footer="992" w:gutter="0"/>
          <w:pgNumType w:start="1"/>
          <w:cols w:space="720" w:num="1"/>
          <w:docGrid w:type="lines" w:linePitch="312" w:charSpace="0"/>
        </w:sectPr>
      </w:pPr>
    </w:p>
    <w:p>
      <w:pPr>
        <w:numPr>
          <w:ilvl w:val="0"/>
          <w:numId w:val="0"/>
        </w:numPr>
        <w:spacing w:line="500" w:lineRule="exact"/>
        <w:jc w:val="left"/>
        <w:rPr>
          <w:rFonts w:hint="eastAsia" w:ascii="黑体" w:hAnsi="黑体" w:eastAsia="黑体" w:cs="黑体"/>
          <w:b w:val="0"/>
          <w:bCs/>
          <w:w w:val="85"/>
          <w:sz w:val="36"/>
          <w:szCs w:val="36"/>
          <w:lang w:val="en-US" w:eastAsia="zh-CN"/>
        </w:rPr>
      </w:pPr>
    </w:p>
    <w:p>
      <w:pPr>
        <w:numPr>
          <w:ilvl w:val="0"/>
          <w:numId w:val="0"/>
        </w:numPr>
        <w:spacing w:line="500" w:lineRule="exact"/>
        <w:jc w:val="left"/>
        <w:rPr>
          <w:rFonts w:hint="eastAsia" w:ascii="黑体" w:hAnsi="黑体" w:eastAsia="黑体" w:cs="黑体"/>
          <w:b w:val="0"/>
          <w:bCs/>
          <w:w w:val="85"/>
          <w:sz w:val="36"/>
          <w:szCs w:val="36"/>
          <w:lang w:val="en-US" w:eastAsia="zh-CN"/>
        </w:rPr>
      </w:pPr>
      <w:r>
        <w:rPr>
          <w:rFonts w:hint="eastAsia" w:ascii="黑体" w:hAnsi="黑体" w:eastAsia="黑体" w:cs="黑体"/>
          <w:b w:val="0"/>
          <w:bCs/>
          <w:w w:val="85"/>
          <w:sz w:val="36"/>
          <w:szCs w:val="36"/>
          <w:lang w:val="en-US" w:eastAsia="zh-CN"/>
        </w:rPr>
        <w:t xml:space="preserve">    一、审查项目情况</w:t>
      </w:r>
    </w:p>
    <w:p>
      <w:pPr>
        <w:numPr>
          <w:ilvl w:val="0"/>
          <w:numId w:val="0"/>
        </w:numPr>
        <w:spacing w:line="500" w:lineRule="exact"/>
        <w:jc w:val="left"/>
        <w:rPr>
          <w:rFonts w:hint="eastAsia" w:ascii="仿宋" w:hAnsi="仿宋" w:eastAsia="仿宋" w:cs="仿宋"/>
          <w:b w:val="0"/>
          <w:bCs/>
          <w:w w:val="85"/>
          <w:sz w:val="32"/>
          <w:szCs w:val="32"/>
          <w:u w:val="single"/>
          <w:lang w:val="en-US" w:eastAsia="zh-CN"/>
        </w:rPr>
      </w:pPr>
      <w:r>
        <w:rPr>
          <w:rFonts w:hint="eastAsia" w:ascii="宋体" w:hAnsi="宋体" w:eastAsia="宋体" w:cs="宋体"/>
          <w:b w:val="0"/>
          <w:bCs/>
          <w:w w:val="85"/>
          <w:sz w:val="32"/>
          <w:szCs w:val="32"/>
          <w:lang w:val="en-US" w:eastAsia="zh-CN"/>
        </w:rPr>
        <w:t xml:space="preserve">    </w:t>
      </w:r>
      <w:r>
        <w:rPr>
          <w:rFonts w:hint="eastAsia" w:ascii="仿宋" w:hAnsi="仿宋" w:eastAsia="仿宋" w:cs="仿宋"/>
          <w:b w:val="0"/>
          <w:bCs/>
          <w:w w:val="85"/>
          <w:sz w:val="32"/>
          <w:szCs w:val="32"/>
          <w:lang w:val="en-US" w:eastAsia="zh-CN"/>
        </w:rPr>
        <w:t>1.项目名称：</w:t>
      </w:r>
      <w:r>
        <w:rPr>
          <w:rFonts w:hint="eastAsia" w:ascii="仿宋" w:hAnsi="仿宋" w:eastAsia="仿宋" w:cs="仿宋"/>
          <w:b w:val="0"/>
          <w:bCs/>
          <w:w w:val="85"/>
          <w:sz w:val="32"/>
          <w:szCs w:val="32"/>
          <w:u w:val="single"/>
          <w:lang w:val="en-US" w:eastAsia="zh-CN"/>
        </w:rPr>
        <w:t xml:space="preserve">                                          </w:t>
      </w:r>
    </w:p>
    <w:p>
      <w:pPr>
        <w:numPr>
          <w:ilvl w:val="0"/>
          <w:numId w:val="0"/>
        </w:numPr>
        <w:spacing w:line="500" w:lineRule="exact"/>
        <w:ind w:firstLine="544"/>
        <w:jc w:val="left"/>
        <w:rPr>
          <w:rFonts w:hint="eastAsia" w:ascii="仿宋" w:hAnsi="仿宋" w:eastAsia="仿宋" w:cs="仿宋"/>
          <w:b w:val="0"/>
          <w:bCs/>
          <w:w w:val="85"/>
          <w:sz w:val="32"/>
          <w:szCs w:val="32"/>
          <w:u w:val="single"/>
          <w:lang w:val="en-US" w:eastAsia="zh-CN"/>
        </w:rPr>
      </w:pPr>
      <w:r>
        <w:rPr>
          <w:rFonts w:hint="eastAsia" w:ascii="仿宋" w:hAnsi="仿宋" w:eastAsia="仿宋" w:cs="仿宋"/>
          <w:b w:val="0"/>
          <w:bCs/>
          <w:w w:val="85"/>
          <w:sz w:val="32"/>
          <w:szCs w:val="32"/>
          <w:lang w:val="en-US" w:eastAsia="zh-CN"/>
        </w:rPr>
        <w:t>2.审查时间：</w:t>
      </w:r>
      <w:r>
        <w:rPr>
          <w:rFonts w:hint="eastAsia" w:ascii="仿宋" w:hAnsi="仿宋" w:eastAsia="仿宋" w:cs="仿宋"/>
          <w:b w:val="0"/>
          <w:bCs/>
          <w:w w:val="85"/>
          <w:sz w:val="32"/>
          <w:szCs w:val="32"/>
          <w:u w:val="single"/>
          <w:lang w:val="en-US" w:eastAsia="zh-CN"/>
        </w:rPr>
        <w:t xml:space="preserve">                                          </w:t>
      </w:r>
    </w:p>
    <w:p>
      <w:pPr>
        <w:numPr>
          <w:ilvl w:val="0"/>
          <w:numId w:val="0"/>
        </w:numPr>
        <w:spacing w:line="500" w:lineRule="exact"/>
        <w:ind w:firstLine="544"/>
        <w:jc w:val="left"/>
        <w:rPr>
          <w:rFonts w:hint="eastAsia" w:ascii="仿宋" w:hAnsi="仿宋" w:eastAsia="仿宋" w:cs="仿宋"/>
          <w:b w:val="0"/>
          <w:bCs/>
          <w:w w:val="85"/>
          <w:sz w:val="32"/>
          <w:szCs w:val="32"/>
          <w:u w:val="single"/>
          <w:lang w:val="en-US" w:eastAsia="zh-CN"/>
        </w:rPr>
      </w:pPr>
      <w:r>
        <w:rPr>
          <w:rFonts w:hint="eastAsia" w:ascii="仿宋" w:hAnsi="仿宋" w:eastAsia="仿宋" w:cs="仿宋"/>
          <w:b w:val="0"/>
          <w:bCs/>
          <w:w w:val="85"/>
          <w:sz w:val="32"/>
          <w:szCs w:val="32"/>
          <w:u w:val="none"/>
          <w:lang w:val="en-US" w:eastAsia="zh-CN"/>
        </w:rPr>
        <w:t>3.审查地点：</w:t>
      </w:r>
      <w:r>
        <w:rPr>
          <w:rFonts w:hint="eastAsia" w:ascii="仿宋" w:hAnsi="仿宋" w:eastAsia="仿宋" w:cs="仿宋"/>
          <w:b w:val="0"/>
          <w:bCs/>
          <w:w w:val="85"/>
          <w:sz w:val="32"/>
          <w:szCs w:val="32"/>
          <w:u w:val="single"/>
          <w:lang w:val="en-US" w:eastAsia="zh-CN"/>
        </w:rPr>
        <w:t xml:space="preserve">                                          </w:t>
      </w:r>
    </w:p>
    <w:p>
      <w:pPr>
        <w:numPr>
          <w:ilvl w:val="0"/>
          <w:numId w:val="0"/>
        </w:numPr>
        <w:spacing w:line="500" w:lineRule="exact"/>
        <w:ind w:firstLine="544"/>
        <w:jc w:val="left"/>
        <w:rPr>
          <w:rFonts w:hint="eastAsia" w:ascii="黑体" w:hAnsi="黑体" w:eastAsia="黑体" w:cs="黑体"/>
          <w:b w:val="0"/>
          <w:bCs/>
          <w:w w:val="85"/>
          <w:sz w:val="36"/>
          <w:szCs w:val="36"/>
          <w:lang w:val="en-US" w:eastAsia="zh-CN"/>
        </w:rPr>
      </w:pPr>
      <w:r>
        <w:rPr>
          <w:rFonts w:hint="eastAsia" w:ascii="黑体" w:hAnsi="黑体" w:eastAsia="黑体" w:cs="黑体"/>
          <w:b w:val="0"/>
          <w:bCs/>
          <w:w w:val="85"/>
          <w:sz w:val="36"/>
          <w:szCs w:val="36"/>
          <w:lang w:val="en-US" w:eastAsia="zh-CN"/>
        </w:rPr>
        <w:t>二、审查人员</w:t>
      </w:r>
    </w:p>
    <w:tbl>
      <w:tblPr>
        <w:tblStyle w:val="4"/>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645"/>
        <w:gridCol w:w="1355"/>
        <w:gridCol w:w="1395"/>
        <w:gridCol w:w="1560"/>
        <w:gridCol w:w="135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89"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645"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姓名</w:t>
            </w:r>
          </w:p>
        </w:tc>
        <w:tc>
          <w:tcPr>
            <w:tcW w:w="1355"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w:t>
            </w:r>
          </w:p>
        </w:tc>
        <w:tc>
          <w:tcPr>
            <w:tcW w:w="1395"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内部机构</w:t>
            </w:r>
          </w:p>
        </w:tc>
        <w:tc>
          <w:tcPr>
            <w:tcW w:w="1560"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职务/职称</w:t>
            </w:r>
          </w:p>
        </w:tc>
        <w:tc>
          <w:tcPr>
            <w:tcW w:w="1350"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联系方式</w:t>
            </w:r>
          </w:p>
        </w:tc>
        <w:tc>
          <w:tcPr>
            <w:tcW w:w="810"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noWrap w:val="0"/>
            <w:vAlign w:val="top"/>
          </w:tcPr>
          <w:p>
            <w:pPr>
              <w:spacing w:line="5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645" w:type="dxa"/>
            <w:noWrap w:val="0"/>
            <w:vAlign w:val="top"/>
          </w:tcPr>
          <w:p>
            <w:pPr>
              <w:spacing w:line="500" w:lineRule="exact"/>
              <w:jc w:val="left"/>
              <w:rPr>
                <w:rFonts w:hint="eastAsia" w:ascii="宋体" w:hAnsi="宋体" w:eastAsia="宋体" w:cs="宋体"/>
                <w:sz w:val="24"/>
                <w:szCs w:val="24"/>
                <w:lang w:val="en-US" w:eastAsia="zh-CN"/>
              </w:rPr>
            </w:pPr>
          </w:p>
        </w:tc>
        <w:tc>
          <w:tcPr>
            <w:tcW w:w="1355" w:type="dxa"/>
            <w:noWrap w:val="0"/>
            <w:vAlign w:val="top"/>
          </w:tcPr>
          <w:p>
            <w:pPr>
              <w:spacing w:line="500" w:lineRule="exact"/>
              <w:jc w:val="left"/>
              <w:rPr>
                <w:rFonts w:hint="eastAsia" w:ascii="宋体" w:hAnsi="宋体" w:eastAsia="宋体" w:cs="宋体"/>
                <w:sz w:val="24"/>
                <w:szCs w:val="24"/>
                <w:lang w:val="en-US" w:eastAsia="zh-CN"/>
              </w:rPr>
            </w:pPr>
          </w:p>
        </w:tc>
        <w:tc>
          <w:tcPr>
            <w:tcW w:w="1395" w:type="dxa"/>
            <w:noWrap w:val="0"/>
            <w:vAlign w:val="top"/>
          </w:tcPr>
          <w:p>
            <w:pPr>
              <w:spacing w:line="500" w:lineRule="exact"/>
              <w:jc w:val="left"/>
              <w:rPr>
                <w:rFonts w:hint="eastAsia" w:ascii="宋体" w:hAnsi="宋体" w:eastAsia="宋体" w:cs="宋体"/>
                <w:sz w:val="24"/>
                <w:szCs w:val="24"/>
                <w:lang w:val="en-US" w:eastAsia="zh-CN"/>
              </w:rPr>
            </w:pPr>
          </w:p>
        </w:tc>
        <w:tc>
          <w:tcPr>
            <w:tcW w:w="1560" w:type="dxa"/>
            <w:noWrap w:val="0"/>
            <w:vAlign w:val="top"/>
          </w:tcPr>
          <w:p>
            <w:pPr>
              <w:spacing w:line="500" w:lineRule="exact"/>
              <w:jc w:val="left"/>
              <w:rPr>
                <w:rFonts w:hint="eastAsia" w:ascii="宋体" w:hAnsi="宋体" w:eastAsia="宋体" w:cs="宋体"/>
                <w:sz w:val="24"/>
                <w:szCs w:val="24"/>
                <w:lang w:val="en-US" w:eastAsia="zh-CN"/>
              </w:rPr>
            </w:pPr>
          </w:p>
        </w:tc>
        <w:tc>
          <w:tcPr>
            <w:tcW w:w="1350" w:type="dxa"/>
            <w:noWrap w:val="0"/>
            <w:vAlign w:val="top"/>
          </w:tcPr>
          <w:p>
            <w:pPr>
              <w:spacing w:line="500" w:lineRule="exact"/>
              <w:jc w:val="left"/>
              <w:rPr>
                <w:rFonts w:hint="eastAsia" w:ascii="宋体" w:hAnsi="宋体" w:eastAsia="宋体" w:cs="宋体"/>
                <w:sz w:val="24"/>
                <w:szCs w:val="24"/>
                <w:lang w:val="en-US" w:eastAsia="zh-CN"/>
              </w:rPr>
            </w:pPr>
          </w:p>
        </w:tc>
        <w:tc>
          <w:tcPr>
            <w:tcW w:w="810" w:type="dxa"/>
            <w:noWrap w:val="0"/>
            <w:vAlign w:val="top"/>
          </w:tcPr>
          <w:p>
            <w:pPr>
              <w:spacing w:line="500" w:lineRule="exact"/>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89" w:type="dxa"/>
            <w:noWrap w:val="0"/>
            <w:vAlign w:val="top"/>
          </w:tcPr>
          <w:p>
            <w:pPr>
              <w:spacing w:line="5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645" w:type="dxa"/>
            <w:noWrap w:val="0"/>
            <w:vAlign w:val="top"/>
          </w:tcPr>
          <w:p>
            <w:pPr>
              <w:spacing w:line="500" w:lineRule="exact"/>
              <w:jc w:val="left"/>
              <w:rPr>
                <w:rFonts w:hint="eastAsia" w:ascii="宋体" w:hAnsi="宋体" w:eastAsia="宋体" w:cs="宋体"/>
                <w:sz w:val="24"/>
                <w:szCs w:val="24"/>
                <w:lang w:val="en-US" w:eastAsia="zh-CN"/>
              </w:rPr>
            </w:pPr>
          </w:p>
        </w:tc>
        <w:tc>
          <w:tcPr>
            <w:tcW w:w="1355" w:type="dxa"/>
            <w:noWrap w:val="0"/>
            <w:vAlign w:val="top"/>
          </w:tcPr>
          <w:p>
            <w:pPr>
              <w:spacing w:line="500" w:lineRule="exact"/>
              <w:jc w:val="left"/>
              <w:rPr>
                <w:rFonts w:hint="eastAsia" w:ascii="宋体" w:hAnsi="宋体" w:eastAsia="宋体" w:cs="宋体"/>
                <w:sz w:val="24"/>
                <w:szCs w:val="24"/>
                <w:lang w:val="en-US" w:eastAsia="zh-CN"/>
              </w:rPr>
            </w:pPr>
          </w:p>
        </w:tc>
        <w:tc>
          <w:tcPr>
            <w:tcW w:w="1395" w:type="dxa"/>
            <w:noWrap w:val="0"/>
            <w:vAlign w:val="top"/>
          </w:tcPr>
          <w:p>
            <w:pPr>
              <w:spacing w:line="500" w:lineRule="exact"/>
              <w:jc w:val="left"/>
              <w:rPr>
                <w:rFonts w:hint="eastAsia" w:ascii="宋体" w:hAnsi="宋体" w:eastAsia="宋体" w:cs="宋体"/>
                <w:sz w:val="24"/>
                <w:szCs w:val="24"/>
                <w:lang w:val="en-US" w:eastAsia="zh-CN"/>
              </w:rPr>
            </w:pPr>
          </w:p>
        </w:tc>
        <w:tc>
          <w:tcPr>
            <w:tcW w:w="1560" w:type="dxa"/>
            <w:noWrap w:val="0"/>
            <w:vAlign w:val="top"/>
          </w:tcPr>
          <w:p>
            <w:pPr>
              <w:spacing w:line="500" w:lineRule="exact"/>
              <w:jc w:val="left"/>
              <w:rPr>
                <w:rFonts w:hint="eastAsia" w:ascii="宋体" w:hAnsi="宋体" w:eastAsia="宋体" w:cs="宋体"/>
                <w:sz w:val="24"/>
                <w:szCs w:val="24"/>
                <w:lang w:val="en-US" w:eastAsia="zh-CN"/>
              </w:rPr>
            </w:pPr>
          </w:p>
        </w:tc>
        <w:tc>
          <w:tcPr>
            <w:tcW w:w="1350" w:type="dxa"/>
            <w:noWrap w:val="0"/>
            <w:vAlign w:val="top"/>
          </w:tcPr>
          <w:p>
            <w:pPr>
              <w:spacing w:line="500" w:lineRule="exact"/>
              <w:jc w:val="left"/>
              <w:rPr>
                <w:rFonts w:hint="eastAsia" w:ascii="宋体" w:hAnsi="宋体" w:eastAsia="宋体" w:cs="宋体"/>
                <w:sz w:val="24"/>
                <w:szCs w:val="24"/>
                <w:lang w:val="en-US" w:eastAsia="zh-CN"/>
              </w:rPr>
            </w:pPr>
          </w:p>
        </w:tc>
        <w:tc>
          <w:tcPr>
            <w:tcW w:w="810" w:type="dxa"/>
            <w:noWrap w:val="0"/>
            <w:vAlign w:val="top"/>
          </w:tcPr>
          <w:p>
            <w:pPr>
              <w:spacing w:line="500" w:lineRule="exact"/>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89" w:type="dxa"/>
            <w:noWrap w:val="0"/>
            <w:vAlign w:val="top"/>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645" w:type="dxa"/>
            <w:noWrap w:val="0"/>
            <w:vAlign w:val="top"/>
          </w:tcPr>
          <w:p>
            <w:pPr>
              <w:spacing w:line="500" w:lineRule="exact"/>
              <w:jc w:val="left"/>
              <w:rPr>
                <w:rFonts w:hint="eastAsia" w:ascii="宋体" w:hAnsi="宋体" w:eastAsia="宋体" w:cs="宋体"/>
                <w:sz w:val="24"/>
                <w:szCs w:val="24"/>
                <w:lang w:val="en-US" w:eastAsia="zh-CN"/>
              </w:rPr>
            </w:pPr>
          </w:p>
        </w:tc>
        <w:tc>
          <w:tcPr>
            <w:tcW w:w="1355" w:type="dxa"/>
            <w:noWrap w:val="0"/>
            <w:vAlign w:val="top"/>
          </w:tcPr>
          <w:p>
            <w:pPr>
              <w:spacing w:line="500" w:lineRule="exact"/>
              <w:jc w:val="left"/>
              <w:rPr>
                <w:rFonts w:hint="eastAsia" w:ascii="宋体" w:hAnsi="宋体" w:eastAsia="宋体" w:cs="宋体"/>
                <w:sz w:val="24"/>
                <w:szCs w:val="24"/>
                <w:lang w:val="en-US" w:eastAsia="zh-CN"/>
              </w:rPr>
            </w:pPr>
          </w:p>
        </w:tc>
        <w:tc>
          <w:tcPr>
            <w:tcW w:w="1395" w:type="dxa"/>
            <w:noWrap w:val="0"/>
            <w:vAlign w:val="top"/>
          </w:tcPr>
          <w:p>
            <w:pPr>
              <w:spacing w:line="500" w:lineRule="exact"/>
              <w:jc w:val="left"/>
              <w:rPr>
                <w:rFonts w:hint="eastAsia" w:ascii="宋体" w:hAnsi="宋体" w:eastAsia="宋体" w:cs="宋体"/>
                <w:sz w:val="24"/>
                <w:szCs w:val="24"/>
                <w:lang w:val="en-US" w:eastAsia="zh-CN"/>
              </w:rPr>
            </w:pPr>
          </w:p>
        </w:tc>
        <w:tc>
          <w:tcPr>
            <w:tcW w:w="1560" w:type="dxa"/>
            <w:noWrap w:val="0"/>
            <w:vAlign w:val="top"/>
          </w:tcPr>
          <w:p>
            <w:pPr>
              <w:spacing w:line="500" w:lineRule="exact"/>
              <w:jc w:val="left"/>
              <w:rPr>
                <w:rFonts w:hint="eastAsia" w:ascii="宋体" w:hAnsi="宋体" w:eastAsia="宋体" w:cs="宋体"/>
                <w:sz w:val="24"/>
                <w:szCs w:val="24"/>
                <w:lang w:val="en-US" w:eastAsia="zh-CN"/>
              </w:rPr>
            </w:pPr>
          </w:p>
        </w:tc>
        <w:tc>
          <w:tcPr>
            <w:tcW w:w="1350" w:type="dxa"/>
            <w:noWrap w:val="0"/>
            <w:vAlign w:val="top"/>
          </w:tcPr>
          <w:p>
            <w:pPr>
              <w:spacing w:line="500" w:lineRule="exact"/>
              <w:jc w:val="left"/>
              <w:rPr>
                <w:rFonts w:hint="eastAsia" w:ascii="宋体" w:hAnsi="宋体" w:eastAsia="宋体" w:cs="宋体"/>
                <w:sz w:val="24"/>
                <w:szCs w:val="24"/>
                <w:lang w:val="en-US" w:eastAsia="zh-CN"/>
              </w:rPr>
            </w:pPr>
          </w:p>
        </w:tc>
        <w:tc>
          <w:tcPr>
            <w:tcW w:w="810" w:type="dxa"/>
            <w:noWrap w:val="0"/>
            <w:vAlign w:val="top"/>
          </w:tcPr>
          <w:p>
            <w:pPr>
              <w:spacing w:line="500" w:lineRule="exact"/>
              <w:jc w:val="left"/>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904" w:type="dxa"/>
            <w:gridSpan w:val="7"/>
            <w:noWrap w:val="0"/>
            <w:vAlign w:val="top"/>
          </w:tcPr>
          <w:p>
            <w:pPr>
              <w:spacing w:line="240" w:lineRule="exact"/>
              <w:rPr>
                <w:rFonts w:hint="eastAsia" w:ascii="华文楷体" w:hAnsi="华文楷体" w:eastAsia="华文楷体" w:cs="华文楷体"/>
                <w:b/>
                <w:bCs/>
                <w:sz w:val="24"/>
                <w:szCs w:val="24"/>
                <w:lang w:val="en-US" w:eastAsia="zh-CN"/>
              </w:rPr>
            </w:pPr>
          </w:p>
          <w:p>
            <w:pPr>
              <w:spacing w:line="240" w:lineRule="exact"/>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编制说明：</w:t>
            </w:r>
          </w:p>
          <w:p>
            <w:pPr>
              <w:numPr>
                <w:ilvl w:val="0"/>
                <w:numId w:val="1"/>
              </w:numPr>
              <w:spacing w:line="240" w:lineRule="exact"/>
              <w:ind w:left="481" w:leftChars="0" w:firstLine="0" w:firstLineChars="0"/>
              <w:rPr>
                <w:rFonts w:hint="default"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审查工作机制成员应当包括本部门、本单位的采购、财务、业务、监督等内</w:t>
            </w:r>
          </w:p>
          <w:p>
            <w:pPr>
              <w:numPr>
                <w:ilvl w:val="0"/>
                <w:numId w:val="0"/>
              </w:numPr>
              <w:spacing w:line="240" w:lineRule="exact"/>
              <w:rPr>
                <w:rFonts w:hint="default"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 xml:space="preserve">部机构。采购人可以根据本单位实际情况，建立相关专家和第三方机构参与审查的工作机制。           </w:t>
            </w:r>
          </w:p>
          <w:p>
            <w:pPr>
              <w:numPr>
                <w:ilvl w:val="0"/>
                <w:numId w:val="0"/>
              </w:numPr>
              <w:spacing w:line="240" w:lineRule="exact"/>
              <w:ind w:left="481" w:leftChars="0"/>
              <w:rPr>
                <w:rFonts w:hint="eastAsia" w:ascii="宋体" w:hAnsi="宋体" w:eastAsia="宋体" w:cs="宋体"/>
                <w:sz w:val="24"/>
                <w:szCs w:val="24"/>
                <w:lang w:val="en-US" w:eastAsia="zh-CN"/>
              </w:rPr>
            </w:pPr>
            <w:r>
              <w:rPr>
                <w:rFonts w:hint="eastAsia" w:ascii="华文楷体" w:hAnsi="华文楷体" w:eastAsia="华文楷体" w:cs="华文楷体"/>
                <w:b w:val="0"/>
                <w:bCs w:val="0"/>
                <w:sz w:val="24"/>
                <w:szCs w:val="24"/>
                <w:lang w:val="en-US" w:eastAsia="zh-CN"/>
              </w:rPr>
              <w:t>2.参与确定采购需求和编制采购实施计划的专家和第三方机构不得参与审查。</w:t>
            </w:r>
          </w:p>
        </w:tc>
      </w:tr>
    </w:tbl>
    <w:p>
      <w:pPr>
        <w:numPr>
          <w:ilvl w:val="0"/>
          <w:numId w:val="0"/>
        </w:numPr>
        <w:spacing w:line="500" w:lineRule="exact"/>
        <w:ind w:firstLine="544"/>
        <w:jc w:val="left"/>
        <w:rPr>
          <w:rFonts w:hint="eastAsia" w:ascii="黑体" w:hAnsi="黑体" w:eastAsia="黑体" w:cs="黑体"/>
          <w:b w:val="0"/>
          <w:bCs/>
          <w:w w:val="85"/>
          <w:sz w:val="36"/>
          <w:szCs w:val="36"/>
          <w:lang w:val="en-US" w:eastAsia="zh-CN"/>
        </w:rPr>
      </w:pPr>
      <w:r>
        <w:rPr>
          <w:rFonts w:hint="eastAsia" w:ascii="黑体" w:hAnsi="黑体" w:eastAsia="黑体" w:cs="黑体"/>
          <w:b w:val="0"/>
          <w:bCs/>
          <w:w w:val="85"/>
          <w:sz w:val="36"/>
          <w:szCs w:val="36"/>
          <w:lang w:val="en-US" w:eastAsia="zh-CN"/>
        </w:rPr>
        <w:t>三、审查意见</w:t>
      </w:r>
    </w:p>
    <w:p>
      <w:pPr>
        <w:numPr>
          <w:ilvl w:val="0"/>
          <w:numId w:val="0"/>
        </w:numPr>
        <w:spacing w:line="500" w:lineRule="exact"/>
        <w:ind w:firstLine="544"/>
        <w:jc w:val="left"/>
        <w:rPr>
          <w:rFonts w:hint="default" w:ascii="仿宋" w:hAnsi="仿宋" w:eastAsia="仿宋" w:cs="仿宋"/>
          <w:b w:val="0"/>
          <w:bCs/>
          <w:w w:val="85"/>
          <w:sz w:val="32"/>
          <w:szCs w:val="32"/>
          <w:lang w:val="en-US" w:eastAsia="zh-CN"/>
        </w:rPr>
      </w:pPr>
      <w:r>
        <w:rPr>
          <w:rFonts w:hint="eastAsia" w:ascii="仿宋" w:hAnsi="仿宋" w:eastAsia="仿宋" w:cs="仿宋"/>
          <w:b w:val="0"/>
          <w:bCs/>
          <w:w w:val="85"/>
          <w:sz w:val="32"/>
          <w:szCs w:val="32"/>
          <w:lang w:val="en-US" w:eastAsia="zh-CN"/>
        </w:rPr>
        <w:t>重点性审查在一般性审查的基础上，进行以下审查：</w:t>
      </w:r>
    </w:p>
    <w:tbl>
      <w:tblPr>
        <w:tblStyle w:val="4"/>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9"/>
        <w:gridCol w:w="522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9" w:type="dxa"/>
            <w:gridSpan w:val="2"/>
            <w:noWrap w:val="0"/>
            <w:vAlign w:val="top"/>
          </w:tcPr>
          <w:p>
            <w:pPr>
              <w:spacing w:line="500" w:lineRule="exact"/>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审查内容</w:t>
            </w:r>
          </w:p>
        </w:tc>
        <w:tc>
          <w:tcPr>
            <w:tcW w:w="1725" w:type="dxa"/>
            <w:noWrap w:val="0"/>
            <w:vAlign w:val="top"/>
          </w:tcPr>
          <w:p>
            <w:pPr>
              <w:spacing w:line="500" w:lineRule="exact"/>
              <w:jc w:val="cente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restart"/>
            <w:noWrap w:val="0"/>
            <w:vAlign w:val="center"/>
          </w:tcPr>
          <w:p>
            <w:pPr>
              <w:spacing w:line="500" w:lineRule="exact"/>
              <w:jc w:val="center"/>
              <w:rPr>
                <w:rFonts w:hint="default" w:ascii="宋体" w:hAnsi="宋体" w:eastAsia="宋体" w:cs="宋体"/>
                <w:sz w:val="24"/>
                <w:szCs w:val="24"/>
                <w:lang w:val="en-US" w:eastAsia="zh-CN"/>
              </w:rPr>
            </w:pPr>
            <w:r>
              <w:rPr>
                <w:rFonts w:hint="eastAsia" w:ascii="宋体" w:hAnsi="宋体" w:eastAsia="宋体" w:cs="宋体"/>
                <w:b/>
                <w:bCs/>
                <w:sz w:val="28"/>
                <w:szCs w:val="28"/>
                <w:lang w:val="en-US" w:eastAsia="zh-CN"/>
              </w:rPr>
              <w:t>非歧视性审查</w:t>
            </w:r>
            <w:r>
              <w:rPr>
                <w:rFonts w:hint="eastAsia" w:ascii="宋体" w:hAnsi="宋体" w:eastAsia="宋体" w:cs="宋体"/>
                <w:sz w:val="24"/>
                <w:szCs w:val="24"/>
                <w:lang w:val="en-US" w:eastAsia="zh-CN"/>
              </w:rPr>
              <w:t>（主要审查是否指向特定供应商或者特定产品）</w:t>
            </w:r>
          </w:p>
        </w:tc>
        <w:tc>
          <w:tcPr>
            <w:tcW w:w="5220" w:type="dxa"/>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资格条件设置是否合理</w:t>
            </w:r>
          </w:p>
        </w:tc>
        <w:tc>
          <w:tcPr>
            <w:tcW w:w="1725" w:type="dxa"/>
            <w:noWrap w:val="0"/>
            <w:vAlign w:val="top"/>
          </w:tcPr>
          <w:p>
            <w:pPr>
              <w:spacing w:line="500" w:lineRule="exact"/>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continue"/>
            <w:noWrap w:val="0"/>
            <w:vAlign w:val="top"/>
          </w:tcPr>
          <w:p>
            <w:pPr>
              <w:spacing w:line="500" w:lineRule="exact"/>
              <w:jc w:val="center"/>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要求供应商提供超过2个同类业务合同的，是否具有合理性</w:t>
            </w:r>
          </w:p>
        </w:tc>
        <w:tc>
          <w:tcPr>
            <w:tcW w:w="1725" w:type="dxa"/>
            <w:noWrap w:val="0"/>
            <w:vAlign w:val="top"/>
          </w:tcPr>
          <w:p>
            <w:pPr>
              <w:spacing w:line="500" w:lineRule="exact"/>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continue"/>
            <w:noWrap w:val="0"/>
            <w:vAlign w:val="top"/>
          </w:tcPr>
          <w:p>
            <w:pPr>
              <w:spacing w:line="500" w:lineRule="exact"/>
              <w:jc w:val="center"/>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技术要求是否指向特定的专利、商标、品牌、技术路线等</w:t>
            </w:r>
          </w:p>
        </w:tc>
        <w:tc>
          <w:tcPr>
            <w:tcW w:w="1725" w:type="dxa"/>
            <w:noWrap w:val="0"/>
            <w:vAlign w:val="top"/>
          </w:tcPr>
          <w:p>
            <w:pPr>
              <w:spacing w:line="500" w:lineRule="exact"/>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continue"/>
            <w:noWrap w:val="0"/>
            <w:vAlign w:val="top"/>
          </w:tcPr>
          <w:p>
            <w:pPr>
              <w:spacing w:line="500" w:lineRule="exact"/>
              <w:jc w:val="center"/>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评审因素设置是否具有倾向性</w:t>
            </w:r>
          </w:p>
        </w:tc>
        <w:tc>
          <w:tcPr>
            <w:tcW w:w="1725" w:type="dxa"/>
            <w:noWrap w:val="0"/>
            <w:vAlign w:val="top"/>
          </w:tcPr>
          <w:p>
            <w:pPr>
              <w:spacing w:line="500" w:lineRule="exact"/>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continue"/>
            <w:noWrap w:val="0"/>
            <w:vAlign w:val="top"/>
          </w:tcPr>
          <w:p>
            <w:pPr>
              <w:spacing w:line="500" w:lineRule="exact"/>
              <w:jc w:val="center"/>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将有关履约能力作为评审因素是否适当</w:t>
            </w:r>
          </w:p>
        </w:tc>
        <w:tc>
          <w:tcPr>
            <w:tcW w:w="1725" w:type="dxa"/>
            <w:noWrap w:val="0"/>
            <w:vAlign w:val="top"/>
          </w:tcPr>
          <w:p>
            <w:pPr>
              <w:spacing w:line="500" w:lineRule="exact"/>
              <w:jc w:val="center"/>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restart"/>
            <w:noWrap w:val="0"/>
            <w:vAlign w:val="center"/>
          </w:tcPr>
          <w:p>
            <w:pPr>
              <w:spacing w:line="500" w:lineRule="exact"/>
              <w:jc w:val="center"/>
              <w:rPr>
                <w:rFonts w:hint="default" w:ascii="宋体" w:hAnsi="宋体" w:eastAsia="宋体" w:cs="宋体"/>
                <w:sz w:val="24"/>
                <w:szCs w:val="24"/>
                <w:lang w:val="en-US" w:eastAsia="zh-CN"/>
              </w:rPr>
            </w:pPr>
            <w:r>
              <w:rPr>
                <w:rFonts w:hint="eastAsia" w:ascii="宋体" w:hAnsi="宋体" w:eastAsia="宋体" w:cs="宋体"/>
                <w:b/>
                <w:bCs/>
                <w:sz w:val="28"/>
                <w:szCs w:val="28"/>
                <w:lang w:val="en-US" w:eastAsia="zh-CN"/>
              </w:rPr>
              <w:t>竞争性审查</w:t>
            </w:r>
            <w:r>
              <w:rPr>
                <w:rFonts w:hint="eastAsia" w:ascii="宋体" w:hAnsi="宋体" w:eastAsia="宋体" w:cs="宋体"/>
                <w:sz w:val="24"/>
                <w:szCs w:val="24"/>
                <w:lang w:val="en-US" w:eastAsia="zh-CN"/>
              </w:rPr>
              <w:t>（主要审查是否确保充分竞争）</w:t>
            </w:r>
          </w:p>
        </w:tc>
        <w:tc>
          <w:tcPr>
            <w:tcW w:w="5220" w:type="dxa"/>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应当以公开招标方式邀请供应商的，是否依法采用公开招标方式</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采用单一来源采购方式的，是否符合法定情形</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采购需求的内容是否完整、明确</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采购需求的内容是否考虑后续采购竞争性</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评审方法、评审因素、价格权重等评审规则是否适当</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restart"/>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b/>
                <w:bCs/>
                <w:sz w:val="28"/>
                <w:szCs w:val="28"/>
                <w:lang w:val="en-US" w:eastAsia="zh-CN"/>
              </w:rPr>
              <w:t>采购政策审查</w:t>
            </w:r>
          </w:p>
        </w:tc>
        <w:tc>
          <w:tcPr>
            <w:tcW w:w="5220" w:type="dxa"/>
            <w:noWrap w:val="0"/>
            <w:vAlign w:val="center"/>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进口产品的采购是否必要</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是否落实支持创新政府采购政策要求</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是否落实绿色发展、节能环保政府采购政策要求</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是否落实中小微企业发展政府采购政策要求</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是否落实支持监狱发展政府采购政策要求</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是否落实促进残疾人就业政府采购政策要求</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59" w:type="dxa"/>
            <w:vMerge w:val="restart"/>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b/>
                <w:bCs/>
                <w:sz w:val="28"/>
                <w:szCs w:val="28"/>
                <w:lang w:val="en-US" w:eastAsia="zh-CN"/>
              </w:rPr>
              <w:t>履约风险审查</w:t>
            </w:r>
          </w:p>
        </w:tc>
        <w:tc>
          <w:tcPr>
            <w:tcW w:w="5220" w:type="dxa"/>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合同文本是否按照规定由法律顾问审定</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合同文本运用是否适当</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是否围绕采购需求和合同履行设置权利义务</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是否明确知识产权等方面的要求</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履约验收方案是否完整、标准是否明确</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59" w:type="dxa"/>
            <w:vMerge w:val="continue"/>
            <w:noWrap w:val="0"/>
            <w:vAlign w:val="center"/>
          </w:tcPr>
          <w:p>
            <w:pPr>
              <w:spacing w:line="500" w:lineRule="exact"/>
              <w:jc w:val="both"/>
              <w:rPr>
                <w:rFonts w:hint="default" w:ascii="宋体" w:hAnsi="宋体" w:eastAsia="宋体" w:cs="宋体"/>
                <w:sz w:val="24"/>
                <w:szCs w:val="24"/>
                <w:lang w:val="en-US" w:eastAsia="zh-CN"/>
              </w:rPr>
            </w:pPr>
          </w:p>
        </w:tc>
        <w:tc>
          <w:tcPr>
            <w:tcW w:w="5220" w:type="dxa"/>
            <w:noWrap w:val="0"/>
            <w:vAlign w:val="center"/>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风险处置措施和替代方案是否可行</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959" w:type="dxa"/>
            <w:noWrap w:val="0"/>
            <w:vAlign w:val="center"/>
          </w:tcPr>
          <w:p>
            <w:pPr>
              <w:spacing w:line="500" w:lineRule="exact"/>
              <w:jc w:val="both"/>
              <w:rPr>
                <w:rFonts w:hint="default" w:ascii="宋体" w:hAnsi="宋体" w:eastAsia="宋体" w:cs="宋体"/>
                <w:sz w:val="24"/>
                <w:szCs w:val="24"/>
                <w:lang w:val="en-US" w:eastAsia="zh-CN"/>
              </w:rPr>
            </w:pPr>
            <w:r>
              <w:rPr>
                <w:rFonts w:hint="eastAsia" w:ascii="宋体" w:hAnsi="宋体" w:eastAsia="宋体" w:cs="宋体"/>
                <w:b/>
                <w:bCs/>
                <w:sz w:val="28"/>
                <w:szCs w:val="28"/>
                <w:lang w:val="en-US" w:eastAsia="zh-CN"/>
              </w:rPr>
              <w:t>采购人或者主管预算单位认为应当审查的其他内容</w:t>
            </w:r>
          </w:p>
        </w:tc>
        <w:tc>
          <w:tcPr>
            <w:tcW w:w="5220" w:type="dxa"/>
            <w:noWrap w:val="0"/>
            <w:vAlign w:val="center"/>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应当明确审查具体内容</w:t>
            </w:r>
          </w:p>
        </w:tc>
        <w:tc>
          <w:tcPr>
            <w:tcW w:w="1725" w:type="dxa"/>
            <w:noWrap w:val="0"/>
            <w:vAlign w:val="center"/>
          </w:tcPr>
          <w:p>
            <w:pPr>
              <w:spacing w:line="500" w:lineRule="exact"/>
              <w:jc w:val="both"/>
              <w:rPr>
                <w:rFonts w:hint="default"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179" w:type="dxa"/>
            <w:gridSpan w:val="2"/>
            <w:noWrap w:val="0"/>
            <w:vAlign w:val="center"/>
          </w:tcPr>
          <w:p>
            <w:pPr>
              <w:spacing w:line="500" w:lineRule="exact"/>
              <w:jc w:val="center"/>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审查结论</w:t>
            </w:r>
          </w:p>
        </w:tc>
        <w:tc>
          <w:tcPr>
            <w:tcW w:w="1725" w:type="dxa"/>
            <w:noWrap w:val="0"/>
            <w:vAlign w:val="center"/>
          </w:tcPr>
          <w:p>
            <w:pPr>
              <w:spacing w:line="5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8904" w:type="dxa"/>
            <w:gridSpan w:val="3"/>
            <w:noWrap w:val="0"/>
            <w:vAlign w:val="center"/>
          </w:tcPr>
          <w:p>
            <w:pPr>
              <w:spacing w:line="500" w:lineRule="exact"/>
              <w:jc w:val="left"/>
              <w:rPr>
                <w:rFonts w:hint="eastAsia" w:ascii="宋体" w:hAnsi="宋体" w:eastAsia="宋体" w:cs="宋体"/>
                <w:b/>
                <w:bCs w:val="0"/>
                <w:w w:val="85"/>
                <w:sz w:val="28"/>
                <w:szCs w:val="28"/>
                <w:vertAlign w:val="baseline"/>
                <w:lang w:val="en-US" w:eastAsia="zh-CN"/>
              </w:rPr>
            </w:pPr>
            <w:r>
              <w:rPr>
                <w:rFonts w:hint="eastAsia" w:ascii="宋体" w:hAnsi="宋体" w:eastAsia="宋体" w:cs="宋体"/>
                <w:b/>
                <w:bCs w:val="0"/>
                <w:w w:val="85"/>
                <w:sz w:val="28"/>
                <w:szCs w:val="28"/>
                <w:vertAlign w:val="baseline"/>
                <w:lang w:val="en-US" w:eastAsia="zh-CN"/>
              </w:rPr>
              <w:t>审查意见：</w:t>
            </w:r>
          </w:p>
          <w:p>
            <w:pPr>
              <w:spacing w:line="500" w:lineRule="exact"/>
              <w:jc w:val="left"/>
              <w:rPr>
                <w:rFonts w:hint="eastAsia" w:ascii="宋体" w:hAnsi="宋体" w:eastAsia="宋体" w:cs="宋体"/>
                <w:b w:val="0"/>
                <w:bCs/>
                <w:i/>
                <w:iCs/>
                <w:w w:val="85"/>
                <w:sz w:val="28"/>
                <w:szCs w:val="28"/>
                <w:vertAlign w:val="baseline"/>
                <w:lang w:val="en-US" w:eastAsia="zh-CN"/>
              </w:rPr>
            </w:pPr>
            <w:r>
              <w:rPr>
                <w:rFonts w:hint="eastAsia" w:ascii="宋体" w:hAnsi="宋体" w:eastAsia="宋体" w:cs="宋体"/>
                <w:b w:val="0"/>
                <w:bCs/>
                <w:i/>
                <w:iCs/>
                <w:w w:val="85"/>
                <w:sz w:val="28"/>
                <w:szCs w:val="28"/>
                <w:vertAlign w:val="baseline"/>
                <w:lang w:val="en-US" w:eastAsia="zh-CN"/>
              </w:rPr>
              <w:t xml:space="preserve">   示例一：经审查，采购需求、采购计划符合相关规定，审查通过。</w:t>
            </w:r>
          </w:p>
          <w:p>
            <w:pPr>
              <w:spacing w:line="500" w:lineRule="exact"/>
              <w:jc w:val="left"/>
              <w:rPr>
                <w:rFonts w:hint="eastAsia" w:ascii="宋体" w:hAnsi="宋体" w:eastAsia="宋体" w:cs="宋体"/>
                <w:b w:val="0"/>
                <w:bCs/>
                <w:i/>
                <w:iCs/>
                <w:w w:val="85"/>
                <w:sz w:val="28"/>
                <w:szCs w:val="28"/>
                <w:vertAlign w:val="baseline"/>
                <w:lang w:val="en-US" w:eastAsia="zh-CN"/>
              </w:rPr>
            </w:pPr>
            <w:r>
              <w:rPr>
                <w:rFonts w:hint="eastAsia" w:ascii="宋体" w:hAnsi="宋体" w:eastAsia="宋体" w:cs="宋体"/>
                <w:b w:val="0"/>
                <w:bCs/>
                <w:i/>
                <w:iCs/>
                <w:w w:val="85"/>
                <w:sz w:val="28"/>
                <w:szCs w:val="28"/>
                <w:vertAlign w:val="baseline"/>
                <w:lang w:val="en-US" w:eastAsia="zh-CN"/>
              </w:rPr>
              <w:t xml:space="preserve">   示例二：经审查，采购实施计划未落实微企业发展政府采购政策要求，审查不通过，请根据相关规定修改后，再重新审查。</w:t>
            </w:r>
          </w:p>
          <w:p>
            <w:pPr>
              <w:spacing w:line="500" w:lineRule="exact"/>
              <w:jc w:val="left"/>
              <w:rPr>
                <w:rFonts w:hint="eastAsia" w:ascii="宋体" w:hAnsi="宋体" w:eastAsia="宋体" w:cs="宋体"/>
                <w:b w:val="0"/>
                <w:bCs/>
                <w:i/>
                <w:iCs/>
                <w:w w:val="85"/>
                <w:sz w:val="28"/>
                <w:szCs w:val="28"/>
                <w:vertAlign w:val="baseline"/>
                <w:lang w:val="en-US" w:eastAsia="zh-CN"/>
              </w:rPr>
            </w:pPr>
          </w:p>
          <w:p>
            <w:pPr>
              <w:spacing w:line="500" w:lineRule="exact"/>
              <w:jc w:val="left"/>
              <w:rPr>
                <w:rFonts w:hint="eastAsia" w:ascii="宋体" w:hAnsi="宋体" w:eastAsia="宋体" w:cs="宋体"/>
                <w:b w:val="0"/>
                <w:bCs/>
                <w:i/>
                <w:iCs/>
                <w:w w:val="85"/>
                <w:sz w:val="28"/>
                <w:szCs w:val="28"/>
                <w:vertAlign w:val="baseline"/>
                <w:lang w:val="en-US" w:eastAsia="zh-CN"/>
              </w:rPr>
            </w:pPr>
          </w:p>
          <w:p>
            <w:pPr>
              <w:spacing w:line="240" w:lineRule="exact"/>
              <w:rPr>
                <w:rFonts w:hint="eastAsia" w:ascii="华文楷体" w:hAnsi="华文楷体" w:eastAsia="华文楷体" w:cs="华文楷体"/>
                <w:b/>
                <w:bCs/>
                <w:sz w:val="24"/>
                <w:szCs w:val="24"/>
                <w:lang w:eastAsia="zh-CN"/>
              </w:rPr>
            </w:pPr>
            <w:r>
              <w:rPr>
                <w:rFonts w:hint="eastAsia" w:ascii="华文楷体" w:hAnsi="华文楷体" w:eastAsia="华文楷体" w:cs="华文楷体"/>
                <w:b/>
                <w:bCs/>
                <w:sz w:val="24"/>
                <w:szCs w:val="24"/>
                <w:lang w:eastAsia="zh-CN"/>
              </w:rPr>
              <w:t>编制说明：</w:t>
            </w:r>
          </w:p>
          <w:p>
            <w:pPr>
              <w:numPr>
                <w:ilvl w:val="0"/>
                <w:numId w:val="2"/>
              </w:numPr>
              <w:spacing w:line="240" w:lineRule="exact"/>
              <w:ind w:left="480" w:leftChars="0" w:firstLine="0" w:firstLineChars="0"/>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eastAsia="zh-CN"/>
              </w:rPr>
              <w:t>审查结果为“通过”或“不通过”，审查结果“不通过”时，需说明不通过</w:t>
            </w:r>
          </w:p>
          <w:p>
            <w:pPr>
              <w:numPr>
                <w:ilvl w:val="0"/>
                <w:numId w:val="0"/>
              </w:numPr>
              <w:spacing w:line="240" w:lineRule="exact"/>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eastAsia="zh-CN"/>
              </w:rPr>
              <w:t>原因；</w:t>
            </w:r>
            <w:r>
              <w:rPr>
                <w:rFonts w:hint="eastAsia" w:ascii="楷体" w:hAnsi="楷体" w:eastAsia="楷体" w:cs="楷体"/>
                <w:b w:val="0"/>
                <w:bCs w:val="0"/>
                <w:sz w:val="24"/>
                <w:szCs w:val="24"/>
                <w:lang w:val="en-US" w:eastAsia="zh-CN"/>
              </w:rPr>
              <w:t xml:space="preserve">    </w:t>
            </w:r>
          </w:p>
          <w:p>
            <w:pPr>
              <w:numPr>
                <w:ilvl w:val="0"/>
                <w:numId w:val="0"/>
              </w:numPr>
              <w:spacing w:line="240" w:lineRule="exact"/>
              <w:rPr>
                <w:rFonts w:hint="eastAsia" w:ascii="宋体" w:hAnsi="宋体" w:eastAsia="宋体" w:cs="宋体"/>
                <w:sz w:val="24"/>
                <w:szCs w:val="24"/>
                <w:lang w:val="en-US" w:eastAsia="zh-CN"/>
              </w:rPr>
            </w:pPr>
            <w:r>
              <w:rPr>
                <w:rFonts w:hint="eastAsia" w:ascii="楷体" w:hAnsi="楷体" w:eastAsia="楷体" w:cs="楷体"/>
                <w:b w:val="0"/>
                <w:bCs w:val="0"/>
                <w:sz w:val="24"/>
                <w:szCs w:val="24"/>
                <w:lang w:val="en-US" w:eastAsia="zh-CN"/>
              </w:rPr>
              <w:t xml:space="preserve">    2.审查结果全部为</w:t>
            </w:r>
            <w:r>
              <w:rPr>
                <w:rFonts w:hint="eastAsia" w:ascii="楷体" w:hAnsi="楷体" w:eastAsia="楷体" w:cs="楷体"/>
                <w:b w:val="0"/>
                <w:bCs w:val="0"/>
                <w:sz w:val="24"/>
                <w:szCs w:val="24"/>
                <w:lang w:eastAsia="zh-CN"/>
              </w:rPr>
              <w:t>“通过”，则审查结论为“通过”；审查结果有一项为“不通过”，则审查结论为“不通过”。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0" w:hRule="atLeast"/>
        </w:trPr>
        <w:tc>
          <w:tcPr>
            <w:tcW w:w="8904" w:type="dxa"/>
            <w:gridSpan w:val="3"/>
            <w:noWrap w:val="0"/>
            <w:vAlign w:val="top"/>
          </w:tcPr>
          <w:p>
            <w:pPr>
              <w:spacing w:line="500" w:lineRule="exact"/>
              <w:jc w:val="both"/>
              <w:rPr>
                <w:rFonts w:hint="eastAsia" w:ascii="宋体" w:hAnsi="宋体" w:eastAsia="宋体" w:cs="宋体"/>
                <w:sz w:val="24"/>
                <w:szCs w:val="24"/>
                <w:lang w:val="en-US" w:eastAsia="zh-CN"/>
              </w:rPr>
            </w:pPr>
            <w:r>
              <w:rPr>
                <w:rFonts w:hint="eastAsia" w:ascii="宋体" w:hAnsi="宋体" w:eastAsia="宋体" w:cs="宋体"/>
                <w:b/>
                <w:bCs w:val="0"/>
                <w:w w:val="85"/>
                <w:sz w:val="28"/>
                <w:szCs w:val="28"/>
                <w:vertAlign w:val="baseline"/>
                <w:lang w:val="en-US" w:eastAsia="zh-CN"/>
              </w:rPr>
              <w:t>审查人员签字：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8904" w:type="dxa"/>
            <w:gridSpan w:val="3"/>
            <w:noWrap w:val="0"/>
            <w:vAlign w:val="top"/>
          </w:tcPr>
          <w:p>
            <w:pPr>
              <w:spacing w:line="500" w:lineRule="exact"/>
              <w:jc w:val="both"/>
              <w:rPr>
                <w:rFonts w:hint="eastAsia" w:ascii="宋体" w:hAnsi="宋体" w:eastAsia="宋体" w:cs="宋体"/>
                <w:b/>
                <w:bCs w:val="0"/>
                <w:w w:val="85"/>
                <w:sz w:val="28"/>
                <w:szCs w:val="28"/>
                <w:vertAlign w:val="baseline"/>
                <w:lang w:val="en-US" w:eastAsia="zh-CN"/>
              </w:rPr>
            </w:pPr>
            <w:r>
              <w:rPr>
                <w:rFonts w:hint="eastAsia" w:ascii="宋体" w:hAnsi="宋体" w:eastAsia="宋体" w:cs="宋体"/>
                <w:b/>
                <w:bCs w:val="0"/>
                <w:w w:val="85"/>
                <w:sz w:val="28"/>
                <w:szCs w:val="28"/>
                <w:vertAlign w:val="baseline"/>
                <w:lang w:val="en-US" w:eastAsia="zh-CN"/>
              </w:rPr>
              <w:t>审查要求：属于《政府采购需求管理办法》第十一条规定范围的采购项目，应当开展重点审查。</w:t>
            </w:r>
          </w:p>
        </w:tc>
      </w:tr>
    </w:tbl>
    <w:p>
      <w:pPr>
        <w:spacing w:line="500" w:lineRule="exact"/>
        <w:jc w:val="center"/>
        <w:rPr>
          <w:rFonts w:hint="default" w:ascii="黑体" w:hAnsi="黑体" w:eastAsia="黑体"/>
          <w:b/>
          <w:w w:val="85"/>
          <w:sz w:val="36"/>
          <w:szCs w:val="36"/>
          <w:lang w:val="en-US" w:eastAsia="zh-CN"/>
        </w:rPr>
      </w:pPr>
    </w:p>
    <w:p/>
    <w:p/>
    <w:p/>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6BE97"/>
    <w:multiLevelType w:val="singleLevel"/>
    <w:tmpl w:val="DEB6BE97"/>
    <w:lvl w:ilvl="0" w:tentative="0">
      <w:start w:val="1"/>
      <w:numFmt w:val="decimal"/>
      <w:lvlText w:val="%1."/>
      <w:lvlJc w:val="left"/>
      <w:pPr>
        <w:tabs>
          <w:tab w:val="left" w:pos="312"/>
        </w:tabs>
        <w:ind w:left="480" w:firstLine="0"/>
      </w:pPr>
    </w:lvl>
  </w:abstractNum>
  <w:abstractNum w:abstractNumId="1">
    <w:nsid w:val="6BF7D4DF"/>
    <w:multiLevelType w:val="singleLevel"/>
    <w:tmpl w:val="6BF7D4DF"/>
    <w:lvl w:ilvl="0" w:tentative="0">
      <w:start w:val="1"/>
      <w:numFmt w:val="decimal"/>
      <w:lvlText w:val="%1."/>
      <w:lvlJc w:val="left"/>
      <w:pPr>
        <w:tabs>
          <w:tab w:val="left" w:pos="312"/>
        </w:tabs>
        <w:ind w:left="481"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17C27"/>
    <w:rsid w:val="6C917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2021-09-10T07:34:00Z</dcterms:created>
  <dc:creator>Janet</dc:creator>
  <cp:lastModifiedBy>Janet</cp:lastModifiedBy>
  <dcterms:modified xsi:type="dcterms:W3CDTF">2021-09-10T07:36:06Z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C7AA288E27FC423DB3A35B2C095EE8F4</vt:lpwstr>
  </property>
</Properties>
</file>