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ascii="宋体" w:hAnsi="宋体"/>
          <w:b/>
          <w:bCs/>
          <w:color w:val="FF0000"/>
          <w:sz w:val="40"/>
          <w:szCs w:val="40"/>
        </w:rPr>
      </w:pPr>
    </w:p>
    <w:p>
      <w:pPr>
        <w:snapToGrid w:val="0"/>
        <w:spacing w:line="660" w:lineRule="exact"/>
        <w:jc w:val="center"/>
        <w:rPr>
          <w:rFonts w:ascii="宋体" w:hAnsi="宋体"/>
          <w:b/>
          <w:bCs/>
          <w:color w:val="FF0000"/>
          <w:sz w:val="40"/>
          <w:szCs w:val="40"/>
        </w:rPr>
      </w:pPr>
    </w:p>
    <w:p>
      <w:pPr>
        <w:snapToGrid w:val="0"/>
        <w:spacing w:line="660" w:lineRule="exact"/>
        <w:jc w:val="center"/>
        <w:rPr>
          <w:rFonts w:ascii="宋体" w:hAnsi="宋体"/>
          <w:b/>
          <w:bCs/>
          <w:color w:val="FF0000"/>
          <w:sz w:val="40"/>
          <w:szCs w:val="40"/>
        </w:rPr>
      </w:pPr>
    </w:p>
    <w:p>
      <w:pPr>
        <w:snapToGrid w:val="0"/>
        <w:spacing w:line="660" w:lineRule="exact"/>
        <w:jc w:val="center"/>
        <w:rPr>
          <w:rFonts w:ascii="宋体" w:hAnsi="宋体"/>
          <w:b/>
          <w:bCs/>
          <w:color w:val="FF0000"/>
          <w:sz w:val="40"/>
          <w:szCs w:val="40"/>
        </w:rPr>
      </w:pPr>
    </w:p>
    <w:p>
      <w:pPr>
        <w:snapToGrid w:val="0"/>
        <w:spacing w:line="660" w:lineRule="exact"/>
        <w:jc w:val="center"/>
        <w:rPr>
          <w:rFonts w:ascii="宋体" w:hAnsi="宋体"/>
          <w:b/>
          <w:bCs/>
          <w:sz w:val="36"/>
          <w:szCs w:val="36"/>
        </w:rPr>
      </w:pPr>
      <w:bookmarkStart w:id="0" w:name="_GoBack"/>
      <w:r>
        <w:rPr>
          <w:rFonts w:hint="eastAsia" w:ascii="宋体" w:hAnsi="宋体"/>
          <w:b/>
          <w:bCs/>
          <w:sz w:val="36"/>
          <w:szCs w:val="36"/>
        </w:rPr>
        <w:t>关于2018年兰州新区一般公共预算收入决算的说明</w:t>
      </w:r>
    </w:p>
    <w:bookmarkEnd w:id="0"/>
    <w:p>
      <w:pPr>
        <w:snapToGrid w:val="0"/>
        <w:spacing w:line="660" w:lineRule="exact"/>
        <w:jc w:val="center"/>
        <w:rPr>
          <w:rFonts w:ascii="宋体" w:hAnsi="宋体"/>
          <w:b/>
          <w:bCs/>
          <w:sz w:val="40"/>
          <w:szCs w:val="40"/>
        </w:rPr>
      </w:pPr>
    </w:p>
    <w:p>
      <w:pPr>
        <w:spacing w:line="640" w:lineRule="exact"/>
        <w:ind w:firstLine="640"/>
        <w:rPr>
          <w:rFonts w:ascii="仿宋_GB2312" w:hAnsi="仿宋" w:eastAsia="仿宋_GB2312"/>
          <w:color w:val="FF0000"/>
          <w:sz w:val="32"/>
          <w:szCs w:val="32"/>
        </w:rPr>
      </w:pPr>
      <w:r>
        <w:rPr>
          <w:rFonts w:hint="eastAsia" w:ascii="仿宋_GB2312" w:hAnsi="仿宋" w:eastAsia="仿宋_GB2312"/>
          <w:sz w:val="32"/>
          <w:szCs w:val="32"/>
        </w:rPr>
        <w:t>经市人大批准的2018年兰州新区一般公共预算收入预算为</w:t>
      </w:r>
      <w:r>
        <w:rPr>
          <w:rFonts w:ascii="仿宋_GB2312" w:hAnsi="仿宋" w:eastAsia="仿宋_GB2312"/>
          <w:sz w:val="32"/>
          <w:szCs w:val="32"/>
        </w:rPr>
        <w:t>151300</w:t>
      </w:r>
      <w:r>
        <w:rPr>
          <w:rFonts w:hint="eastAsia" w:ascii="仿宋_GB2312" w:hAnsi="仿宋" w:eastAsia="仿宋_GB2312"/>
          <w:sz w:val="32"/>
          <w:szCs w:val="32"/>
        </w:rPr>
        <w:t>万元，年终决算收入</w:t>
      </w:r>
      <w:r>
        <w:rPr>
          <w:rFonts w:ascii="仿宋_GB2312" w:hAnsi="仿宋" w:eastAsia="仿宋_GB2312"/>
          <w:sz w:val="32"/>
          <w:szCs w:val="32"/>
        </w:rPr>
        <w:t>152053</w:t>
      </w:r>
      <w:r>
        <w:rPr>
          <w:rFonts w:hint="eastAsia" w:ascii="仿宋_GB2312" w:hAnsi="仿宋" w:eastAsia="仿宋_GB2312"/>
          <w:sz w:val="32"/>
          <w:szCs w:val="32"/>
        </w:rPr>
        <w:t>万元，完成预算的100.5%，同比增长16%（加上增值税留抵退税</w:t>
      </w:r>
      <w:r>
        <w:rPr>
          <w:rFonts w:ascii="仿宋_GB2312" w:hAnsi="仿宋" w:eastAsia="仿宋_GB2312"/>
          <w:sz w:val="32"/>
          <w:szCs w:val="32"/>
        </w:rPr>
        <w:t>0.66</w:t>
      </w:r>
      <w:r>
        <w:rPr>
          <w:rFonts w:hint="eastAsia" w:ascii="仿宋_GB2312" w:hAnsi="仿宋" w:eastAsia="仿宋_GB2312"/>
          <w:sz w:val="32"/>
          <w:szCs w:val="32"/>
        </w:rPr>
        <w:t>亿元，完成</w:t>
      </w:r>
      <w:r>
        <w:rPr>
          <w:rFonts w:ascii="仿宋_GB2312" w:hAnsi="仿宋" w:eastAsia="仿宋_GB2312"/>
          <w:sz w:val="32"/>
          <w:szCs w:val="32"/>
        </w:rPr>
        <w:t>15.87</w:t>
      </w:r>
      <w:r>
        <w:rPr>
          <w:rFonts w:hint="eastAsia" w:ascii="仿宋_GB2312" w:hAnsi="仿宋" w:eastAsia="仿宋_GB2312"/>
          <w:sz w:val="32"/>
          <w:szCs w:val="32"/>
        </w:rPr>
        <w:t>亿元，增长</w:t>
      </w:r>
      <w:r>
        <w:rPr>
          <w:rFonts w:ascii="仿宋_GB2312" w:hAnsi="仿宋" w:eastAsia="仿宋_GB2312"/>
          <w:sz w:val="32"/>
          <w:szCs w:val="32"/>
        </w:rPr>
        <w:t>20.6%</w:t>
      </w:r>
      <w:r>
        <w:rPr>
          <w:rFonts w:hint="eastAsia" w:ascii="仿宋_GB2312" w:hAnsi="仿宋" w:eastAsia="仿宋_GB2312"/>
          <w:sz w:val="32"/>
          <w:szCs w:val="32"/>
        </w:rPr>
        <w:t>）。其中：税收收入</w:t>
      </w:r>
      <w:r>
        <w:rPr>
          <w:rFonts w:ascii="仿宋_GB2312" w:hAnsi="仿宋" w:eastAsia="仿宋_GB2312"/>
          <w:sz w:val="32"/>
          <w:szCs w:val="32"/>
        </w:rPr>
        <w:t>133645</w:t>
      </w:r>
      <w:r>
        <w:rPr>
          <w:rFonts w:hint="eastAsia" w:ascii="仿宋_GB2312" w:hAnsi="仿宋" w:eastAsia="仿宋_GB2312"/>
          <w:sz w:val="32"/>
          <w:szCs w:val="32"/>
        </w:rPr>
        <w:t>万元，完成预算的101.2%，增长17.6%；非税收入</w:t>
      </w:r>
      <w:r>
        <w:rPr>
          <w:rFonts w:ascii="仿宋_GB2312" w:hAnsi="仿宋" w:eastAsia="仿宋_GB2312"/>
          <w:sz w:val="32"/>
          <w:szCs w:val="32"/>
        </w:rPr>
        <w:t>18408</w:t>
      </w:r>
      <w:r>
        <w:rPr>
          <w:rFonts w:hint="eastAsia" w:ascii="仿宋_GB2312" w:hAnsi="仿宋" w:eastAsia="仿宋_GB2312"/>
          <w:sz w:val="32"/>
          <w:szCs w:val="32"/>
        </w:rPr>
        <w:t>万元，完成预算的95.5%，增长2.5%。主要情况如下：</w:t>
      </w:r>
    </w:p>
    <w:p>
      <w:pPr>
        <w:spacing w:line="640" w:lineRule="exact"/>
        <w:ind w:firstLine="640"/>
        <w:rPr>
          <w:rFonts w:ascii="楷体_GB2312" w:hAnsi="仿宋" w:eastAsia="楷体_GB2312"/>
          <w:b/>
          <w:sz w:val="32"/>
          <w:szCs w:val="32"/>
        </w:rPr>
      </w:pPr>
      <w:r>
        <w:rPr>
          <w:rFonts w:hint="eastAsia" w:ascii="楷体_GB2312" w:hAnsi="仿宋" w:eastAsia="楷体_GB2312"/>
          <w:b/>
          <w:sz w:val="32"/>
          <w:szCs w:val="32"/>
        </w:rPr>
        <w:t>1.税收收入</w:t>
      </w:r>
    </w:p>
    <w:p>
      <w:pPr>
        <w:spacing w:line="64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增值税</w:t>
      </w:r>
      <w:r>
        <w:rPr>
          <w:rFonts w:ascii="仿宋_GB2312" w:hAnsi="仿宋" w:eastAsia="仿宋_GB2312"/>
          <w:sz w:val="32"/>
          <w:szCs w:val="32"/>
        </w:rPr>
        <w:t>33127</w:t>
      </w:r>
      <w:r>
        <w:rPr>
          <w:rFonts w:hint="eastAsia" w:ascii="仿宋_GB2312" w:hAnsi="仿宋" w:eastAsia="仿宋_GB2312"/>
          <w:sz w:val="32"/>
          <w:szCs w:val="32"/>
        </w:rPr>
        <w:t>万元，为预算的83.7%，比上年增长2.8%。</w:t>
      </w:r>
      <w:r>
        <w:rPr>
          <w:rFonts w:hint="eastAsia" w:ascii="仿宋_GB2312" w:eastAsia="仿宋_GB2312"/>
          <w:sz w:val="32"/>
          <w:szCs w:val="32"/>
        </w:rPr>
        <w:t>主要是受宏观经济形势及新区固定资产投资下滑等因素影响，收入未完成年初预期。</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土地增值税</w:t>
      </w:r>
      <w:r>
        <w:rPr>
          <w:rFonts w:ascii="仿宋_GB2312" w:hAnsi="仿宋" w:eastAsia="仿宋_GB2312"/>
          <w:sz w:val="32"/>
          <w:szCs w:val="32"/>
        </w:rPr>
        <w:t>19190</w:t>
      </w:r>
      <w:r>
        <w:rPr>
          <w:rFonts w:hint="eastAsia" w:ascii="仿宋_GB2312" w:hAnsi="仿宋" w:eastAsia="仿宋_GB2312"/>
          <w:sz w:val="32"/>
          <w:szCs w:val="32"/>
        </w:rPr>
        <w:t>万元，为预算的147.5%，比上年增长61.2%。</w:t>
      </w:r>
    </w:p>
    <w:p>
      <w:pPr>
        <w:spacing w:line="64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城镇土地使用税</w:t>
      </w:r>
      <w:r>
        <w:rPr>
          <w:rFonts w:ascii="仿宋_GB2312" w:hAnsi="仿宋" w:eastAsia="仿宋_GB2312"/>
          <w:sz w:val="32"/>
          <w:szCs w:val="32"/>
        </w:rPr>
        <w:t>6981</w:t>
      </w:r>
      <w:r>
        <w:rPr>
          <w:rFonts w:hint="eastAsia" w:ascii="仿宋_GB2312" w:hAnsi="仿宋" w:eastAsia="仿宋_GB2312"/>
          <w:sz w:val="32"/>
          <w:szCs w:val="32"/>
        </w:rPr>
        <w:t>万元，为预算的164.5%，比上年增长113.9%，增幅较大的原因是土地交易相对活跃。</w:t>
      </w:r>
    </w:p>
    <w:p>
      <w:pPr>
        <w:spacing w:line="640" w:lineRule="exact"/>
        <w:ind w:firstLine="640"/>
        <w:rPr>
          <w:rFonts w:ascii="楷体_GB2312" w:hAnsi="仿宋" w:eastAsia="楷体_GB2312"/>
          <w:b/>
          <w:sz w:val="32"/>
          <w:szCs w:val="32"/>
        </w:rPr>
      </w:pPr>
      <w:r>
        <w:rPr>
          <w:rFonts w:hint="eastAsia" w:ascii="楷体_GB2312" w:hAnsi="仿宋" w:eastAsia="楷体_GB2312"/>
          <w:b/>
          <w:sz w:val="32"/>
          <w:szCs w:val="32"/>
        </w:rPr>
        <w:t>2.非税</w:t>
      </w:r>
      <w:r>
        <w:rPr>
          <w:rFonts w:ascii="楷体_GB2312" w:hAnsi="仿宋" w:eastAsia="楷体_GB2312"/>
          <w:b/>
          <w:sz w:val="32"/>
          <w:szCs w:val="32"/>
        </w:rPr>
        <w:t>收入</w:t>
      </w:r>
    </w:p>
    <w:p>
      <w:pPr>
        <w:spacing w:line="640" w:lineRule="exact"/>
        <w:ind w:firstLine="660"/>
        <w:rPr>
          <w:rFonts w:ascii="仿宋_GB2312" w:eastAsia="仿宋_GB2312"/>
          <w:sz w:val="32"/>
          <w:szCs w:val="32"/>
        </w:rPr>
      </w:pPr>
      <w:r>
        <w:rPr>
          <w:rFonts w:hint="eastAsia" w:ascii="仿宋_GB2312" w:hAnsi="仿宋" w:eastAsia="仿宋_GB2312"/>
          <w:sz w:val="32"/>
          <w:szCs w:val="32"/>
        </w:rPr>
        <w:t>专项收入</w:t>
      </w:r>
      <w:r>
        <w:rPr>
          <w:rFonts w:ascii="仿宋_GB2312" w:hAnsi="仿宋" w:eastAsia="仿宋_GB2312"/>
          <w:sz w:val="32"/>
          <w:szCs w:val="32"/>
        </w:rPr>
        <w:t>12491</w:t>
      </w:r>
      <w:r>
        <w:rPr>
          <w:rFonts w:hint="eastAsia" w:ascii="仿宋_GB2312" w:hAnsi="仿宋" w:eastAsia="仿宋_GB2312"/>
          <w:sz w:val="32"/>
          <w:szCs w:val="32"/>
        </w:rPr>
        <w:t>万元，为预算的112%，比上年增长38.5%，</w:t>
      </w:r>
    </w:p>
    <w:p>
      <w:pPr>
        <w:spacing w:line="640" w:lineRule="exact"/>
        <w:ind w:firstLine="640"/>
        <w:rPr>
          <w:rFonts w:ascii="仿宋_GB2312" w:hAnsi="仿宋" w:eastAsia="仿宋_GB2312"/>
          <w:sz w:val="32"/>
          <w:szCs w:val="32"/>
        </w:rPr>
      </w:pPr>
      <w:r>
        <w:rPr>
          <w:rFonts w:hint="eastAsia" w:ascii="仿宋_GB2312" w:hAnsi="仿宋" w:eastAsia="仿宋_GB2312"/>
          <w:sz w:val="32"/>
          <w:szCs w:val="32"/>
        </w:rPr>
        <w:t>行政事业性收费收入</w:t>
      </w:r>
      <w:r>
        <w:rPr>
          <w:rFonts w:ascii="仿宋_GB2312" w:hAnsi="仿宋" w:eastAsia="仿宋_GB2312"/>
          <w:sz w:val="32"/>
          <w:szCs w:val="32"/>
        </w:rPr>
        <w:t>2149</w:t>
      </w:r>
      <w:r>
        <w:rPr>
          <w:rFonts w:hint="eastAsia" w:ascii="仿宋_GB2312" w:hAnsi="仿宋" w:eastAsia="仿宋_GB2312"/>
          <w:sz w:val="32"/>
          <w:szCs w:val="32"/>
        </w:rPr>
        <w:t>万元，为预算的103.5%，比上年增长13.2%。</w:t>
      </w:r>
    </w:p>
    <w:p>
      <w:pPr>
        <w:spacing w:line="640" w:lineRule="exact"/>
        <w:ind w:firstLine="640"/>
        <w:rPr>
          <w:rFonts w:ascii="仿宋_GB2312" w:hAnsi="仿宋" w:eastAsia="仿宋_GB2312"/>
          <w:sz w:val="32"/>
          <w:szCs w:val="32"/>
        </w:rPr>
      </w:pPr>
      <w:r>
        <w:rPr>
          <w:rFonts w:hint="eastAsia" w:ascii="仿宋_GB2312" w:hAnsi="仿宋" w:eastAsia="仿宋_GB2312"/>
          <w:sz w:val="32"/>
          <w:szCs w:val="32"/>
        </w:rPr>
        <w:t>罚没收入</w:t>
      </w:r>
      <w:r>
        <w:rPr>
          <w:rFonts w:ascii="仿宋_GB2312" w:hAnsi="仿宋" w:eastAsia="仿宋_GB2312"/>
          <w:sz w:val="32"/>
          <w:szCs w:val="32"/>
        </w:rPr>
        <w:t>2607</w:t>
      </w:r>
      <w:r>
        <w:rPr>
          <w:rFonts w:hint="eastAsia" w:ascii="仿宋_GB2312" w:hAnsi="仿宋" w:eastAsia="仿宋_GB2312"/>
          <w:sz w:val="32"/>
          <w:szCs w:val="32"/>
        </w:rPr>
        <w:t>万元，为预算的86.9%，比上年下降16.8%。</w:t>
      </w:r>
    </w:p>
    <w:p>
      <w:pPr>
        <w:spacing w:line="640" w:lineRule="exact"/>
        <w:ind w:firstLine="640"/>
        <w:rPr>
          <w:rFonts w:ascii="仿宋_GB2312" w:hAnsi="仿宋" w:eastAsia="仿宋_GB2312"/>
          <w:color w:val="FF0000"/>
          <w:sz w:val="32"/>
          <w:szCs w:val="32"/>
        </w:rPr>
      </w:pPr>
      <w:r>
        <w:rPr>
          <w:rFonts w:hint="eastAsia" w:ascii="仿宋_GB2312" w:hAnsi="仿宋" w:eastAsia="仿宋_GB2312"/>
          <w:sz w:val="32"/>
          <w:szCs w:val="32"/>
        </w:rPr>
        <w:t>国有资源（资产）有偿使用收入</w:t>
      </w:r>
      <w:r>
        <w:rPr>
          <w:rFonts w:ascii="仿宋_GB2312" w:hAnsi="仿宋" w:eastAsia="仿宋_GB2312"/>
          <w:sz w:val="32"/>
          <w:szCs w:val="32"/>
        </w:rPr>
        <w:t>405</w:t>
      </w:r>
      <w:r>
        <w:rPr>
          <w:rFonts w:hint="eastAsia" w:ascii="仿宋_GB2312" w:hAnsi="仿宋" w:eastAsia="仿宋_GB2312"/>
          <w:sz w:val="32"/>
          <w:szCs w:val="32"/>
        </w:rPr>
        <w:t>万元，为预算的13.3%，比上年下降88.3%。主要是去年清理其他国有资源（资产）有偿使用收入和利息收入等一次性收入。</w:t>
      </w:r>
    </w:p>
    <w:p>
      <w:pPr>
        <w:spacing w:line="640" w:lineRule="exact"/>
        <w:ind w:firstLine="640"/>
        <w:rPr>
          <w:rFonts w:ascii="仿宋_GB2312" w:hAnsi="仿宋" w:eastAsia="仿宋_GB2312"/>
          <w:b/>
          <w:sz w:val="32"/>
          <w:szCs w:val="32"/>
        </w:rPr>
      </w:pPr>
      <w:r>
        <w:rPr>
          <w:rFonts w:hint="eastAsia" w:ascii="仿宋_GB2312" w:hAnsi="仿宋" w:eastAsia="仿宋_GB2312"/>
          <w:b/>
          <w:sz w:val="32"/>
          <w:szCs w:val="32"/>
        </w:rPr>
        <w:t>非税收入相关政策：</w:t>
      </w:r>
    </w:p>
    <w:p>
      <w:pPr>
        <w:spacing w:line="640" w:lineRule="exact"/>
        <w:ind w:firstLine="640"/>
        <w:rPr>
          <w:rFonts w:ascii="仿宋_GB2312" w:hAnsi="仿宋" w:eastAsia="仿宋_GB2312"/>
          <w:sz w:val="32"/>
          <w:szCs w:val="32"/>
        </w:rPr>
      </w:pPr>
      <w:r>
        <w:rPr>
          <w:rFonts w:hint="eastAsia" w:ascii="仿宋_GB2312" w:hAnsi="仿宋" w:eastAsia="仿宋_GB2312"/>
          <w:sz w:val="32"/>
          <w:szCs w:val="32"/>
        </w:rPr>
        <w:t>专项收入：是指根据特定需要由国务院批准或者经国务院授权由财政部批准，设置、征集和纳入预算管理、有专门用途的收入。主要包括教育费附加收入、</w:t>
      </w:r>
      <w:r>
        <w:rPr>
          <w:rFonts w:ascii="仿宋_GB2312" w:hAnsi="仿宋" w:eastAsia="仿宋_GB2312"/>
          <w:sz w:val="32"/>
          <w:szCs w:val="32"/>
        </w:rPr>
        <w:t>地方教育附加收入、水利建设专项收入</w:t>
      </w:r>
      <w:r>
        <w:rPr>
          <w:rFonts w:hint="eastAsia" w:ascii="仿宋_GB2312" w:hAnsi="仿宋" w:eastAsia="仿宋_GB2312"/>
          <w:sz w:val="32"/>
          <w:szCs w:val="32"/>
        </w:rPr>
        <w:t>等。</w:t>
      </w:r>
    </w:p>
    <w:p>
      <w:pPr>
        <w:spacing w:line="640" w:lineRule="exact"/>
        <w:ind w:firstLine="640"/>
        <w:rPr>
          <w:rFonts w:ascii="仿宋_GB2312" w:hAnsi="仿宋" w:eastAsia="仿宋_GB2312"/>
          <w:sz w:val="32"/>
          <w:szCs w:val="32"/>
        </w:rPr>
      </w:pPr>
      <w:r>
        <w:rPr>
          <w:rFonts w:hint="eastAsia" w:ascii="仿宋_GB2312" w:hAnsi="仿宋" w:eastAsia="仿宋_GB2312"/>
          <w:sz w:val="32"/>
          <w:szCs w:val="32"/>
        </w:rPr>
        <w:t>行政事业性收费收入：反映依据法律、行政法规、国务院有关规定、国务院财政部门会同价格主管部门共同发布的规章或者规定以及省、自治区、直辖市的地方性法规、政府规章或者规定，省级财政部门会同价格主管部门共同发布的规定收取的各项收费收入。</w:t>
      </w:r>
    </w:p>
    <w:p>
      <w:pPr>
        <w:spacing w:line="640" w:lineRule="exact"/>
        <w:ind w:firstLine="640"/>
        <w:rPr>
          <w:rFonts w:ascii="仿宋_GB2312" w:hAnsi="仿宋" w:eastAsia="仿宋_GB2312"/>
          <w:sz w:val="32"/>
          <w:szCs w:val="32"/>
        </w:rPr>
      </w:pPr>
      <w:r>
        <w:rPr>
          <w:rFonts w:hint="eastAsia" w:ascii="仿宋_GB2312" w:hAnsi="仿宋" w:eastAsia="仿宋_GB2312"/>
          <w:sz w:val="32"/>
          <w:szCs w:val="32"/>
        </w:rPr>
        <w:t>罚没收入：反映执法机关依法收缴的罚款（罚金）、没收款、赃款、没收物资、赃物的变价款收入，分为一般罚没收入、缉私罚没收入和缉毒罚没收入三种。</w:t>
      </w:r>
    </w:p>
    <w:p>
      <w:pPr>
        <w:spacing w:line="640" w:lineRule="exact"/>
        <w:ind w:firstLine="640"/>
        <w:rPr>
          <w:rFonts w:ascii="仿宋_GB2312" w:hAnsi="仿宋" w:eastAsia="仿宋_GB2312"/>
          <w:sz w:val="32"/>
          <w:szCs w:val="32"/>
        </w:rPr>
      </w:pPr>
      <w:r>
        <w:rPr>
          <w:rFonts w:hint="eastAsia" w:ascii="仿宋_GB2312" w:hAnsi="仿宋" w:eastAsia="仿宋_GB2312"/>
          <w:sz w:val="32"/>
          <w:szCs w:val="32"/>
        </w:rPr>
        <w:t>国有资本经营收入：反映各级人民政府及其部门、机构履行出资人职责的企业上缴的国有资本收益。有利润收入，股利、股息收入，产权转让收入，清算收入等。</w:t>
      </w:r>
    </w:p>
    <w:p>
      <w:pPr>
        <w:spacing w:line="640" w:lineRule="exact"/>
        <w:ind w:firstLine="640"/>
      </w:pPr>
      <w:r>
        <w:rPr>
          <w:rFonts w:hint="eastAsia" w:ascii="仿宋_GB2312" w:hAnsi="仿宋" w:eastAsia="仿宋_GB2312"/>
          <w:sz w:val="32"/>
          <w:szCs w:val="32"/>
        </w:rPr>
        <w:t>国有资源（资产）有偿使用收入：反映有偿转让国有资源(资产)使用权而取得的收入。主要有海域使用金收入、场地和矿区使用费收入、特种矿产品出售收入、专项储备物资销售收入、利息收入、非经营性国有资产经营收入、出租车经营权有偿出让和转让收入及其他国家资源(资产)有偿使用收入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1DFF"/>
    <w:rsid w:val="00000830"/>
    <w:rsid w:val="00002AB6"/>
    <w:rsid w:val="00006C21"/>
    <w:rsid w:val="00021433"/>
    <w:rsid w:val="00024315"/>
    <w:rsid w:val="00025387"/>
    <w:rsid w:val="00027F56"/>
    <w:rsid w:val="000350CF"/>
    <w:rsid w:val="00036A64"/>
    <w:rsid w:val="00041878"/>
    <w:rsid w:val="000423D8"/>
    <w:rsid w:val="00042BCF"/>
    <w:rsid w:val="000435A4"/>
    <w:rsid w:val="00052A5A"/>
    <w:rsid w:val="00052DD9"/>
    <w:rsid w:val="000567DA"/>
    <w:rsid w:val="00061E25"/>
    <w:rsid w:val="0006415F"/>
    <w:rsid w:val="00067668"/>
    <w:rsid w:val="00070950"/>
    <w:rsid w:val="00074535"/>
    <w:rsid w:val="000755E2"/>
    <w:rsid w:val="0008305F"/>
    <w:rsid w:val="00087A73"/>
    <w:rsid w:val="00094867"/>
    <w:rsid w:val="00095843"/>
    <w:rsid w:val="000969B9"/>
    <w:rsid w:val="000A0FFA"/>
    <w:rsid w:val="000A262A"/>
    <w:rsid w:val="000A3D60"/>
    <w:rsid w:val="000A49BC"/>
    <w:rsid w:val="000A58F7"/>
    <w:rsid w:val="000C0A77"/>
    <w:rsid w:val="000C23E8"/>
    <w:rsid w:val="000D1B9A"/>
    <w:rsid w:val="000D1FEC"/>
    <w:rsid w:val="000E16C5"/>
    <w:rsid w:val="000E43D5"/>
    <w:rsid w:val="000E610C"/>
    <w:rsid w:val="000E6F61"/>
    <w:rsid w:val="000E7C67"/>
    <w:rsid w:val="00111488"/>
    <w:rsid w:val="00113526"/>
    <w:rsid w:val="001201A2"/>
    <w:rsid w:val="00121401"/>
    <w:rsid w:val="001321F1"/>
    <w:rsid w:val="00135890"/>
    <w:rsid w:val="001447A7"/>
    <w:rsid w:val="00147A2A"/>
    <w:rsid w:val="001515E5"/>
    <w:rsid w:val="00152419"/>
    <w:rsid w:val="00155205"/>
    <w:rsid w:val="001600EB"/>
    <w:rsid w:val="001603F3"/>
    <w:rsid w:val="0016695D"/>
    <w:rsid w:val="001728B5"/>
    <w:rsid w:val="0017363F"/>
    <w:rsid w:val="00175279"/>
    <w:rsid w:val="00176334"/>
    <w:rsid w:val="00176EDB"/>
    <w:rsid w:val="0019111C"/>
    <w:rsid w:val="00191341"/>
    <w:rsid w:val="0019204E"/>
    <w:rsid w:val="00192F2B"/>
    <w:rsid w:val="0019487C"/>
    <w:rsid w:val="00195E6A"/>
    <w:rsid w:val="0019709C"/>
    <w:rsid w:val="001A2FAB"/>
    <w:rsid w:val="001A3DC0"/>
    <w:rsid w:val="001B1387"/>
    <w:rsid w:val="001B14ED"/>
    <w:rsid w:val="001B406D"/>
    <w:rsid w:val="001B7B59"/>
    <w:rsid w:val="001C2E3C"/>
    <w:rsid w:val="001D2B39"/>
    <w:rsid w:val="001D5BE5"/>
    <w:rsid w:val="001E04FF"/>
    <w:rsid w:val="001E467A"/>
    <w:rsid w:val="001E6FAB"/>
    <w:rsid w:val="001F22D0"/>
    <w:rsid w:val="001F6640"/>
    <w:rsid w:val="001F7E08"/>
    <w:rsid w:val="00203EE8"/>
    <w:rsid w:val="00204928"/>
    <w:rsid w:val="0020597D"/>
    <w:rsid w:val="00206004"/>
    <w:rsid w:val="00207AB1"/>
    <w:rsid w:val="00210496"/>
    <w:rsid w:val="00215A60"/>
    <w:rsid w:val="0022482E"/>
    <w:rsid w:val="0023089D"/>
    <w:rsid w:val="002373F2"/>
    <w:rsid w:val="00240CEB"/>
    <w:rsid w:val="00244557"/>
    <w:rsid w:val="00245379"/>
    <w:rsid w:val="002507AE"/>
    <w:rsid w:val="00252905"/>
    <w:rsid w:val="002536B1"/>
    <w:rsid w:val="0026064B"/>
    <w:rsid w:val="00261D29"/>
    <w:rsid w:val="00262607"/>
    <w:rsid w:val="002650EE"/>
    <w:rsid w:val="00266307"/>
    <w:rsid w:val="00271389"/>
    <w:rsid w:val="0027353D"/>
    <w:rsid w:val="00286204"/>
    <w:rsid w:val="002863F7"/>
    <w:rsid w:val="00292C78"/>
    <w:rsid w:val="002A3466"/>
    <w:rsid w:val="002B2DC2"/>
    <w:rsid w:val="002B3824"/>
    <w:rsid w:val="002C4B4E"/>
    <w:rsid w:val="002C5DC0"/>
    <w:rsid w:val="002D2871"/>
    <w:rsid w:val="002E08EC"/>
    <w:rsid w:val="002E52B0"/>
    <w:rsid w:val="002E6FC9"/>
    <w:rsid w:val="002F04B5"/>
    <w:rsid w:val="00313452"/>
    <w:rsid w:val="00322D65"/>
    <w:rsid w:val="00334C70"/>
    <w:rsid w:val="00336C32"/>
    <w:rsid w:val="00340BF5"/>
    <w:rsid w:val="003426AC"/>
    <w:rsid w:val="00343D55"/>
    <w:rsid w:val="0035194C"/>
    <w:rsid w:val="00354A87"/>
    <w:rsid w:val="00357A1E"/>
    <w:rsid w:val="0036120F"/>
    <w:rsid w:val="00362197"/>
    <w:rsid w:val="00366643"/>
    <w:rsid w:val="00366F40"/>
    <w:rsid w:val="003769E2"/>
    <w:rsid w:val="003804DB"/>
    <w:rsid w:val="003820FD"/>
    <w:rsid w:val="003836D6"/>
    <w:rsid w:val="00390B5F"/>
    <w:rsid w:val="003938E6"/>
    <w:rsid w:val="003956ED"/>
    <w:rsid w:val="003A25B4"/>
    <w:rsid w:val="003A5E6D"/>
    <w:rsid w:val="003A6E4D"/>
    <w:rsid w:val="003B7381"/>
    <w:rsid w:val="003C2173"/>
    <w:rsid w:val="003C5055"/>
    <w:rsid w:val="003C7731"/>
    <w:rsid w:val="003C791C"/>
    <w:rsid w:val="003E0AB4"/>
    <w:rsid w:val="003E0DC1"/>
    <w:rsid w:val="003E751B"/>
    <w:rsid w:val="003F4F2B"/>
    <w:rsid w:val="003F5DD2"/>
    <w:rsid w:val="004032E8"/>
    <w:rsid w:val="00403FCC"/>
    <w:rsid w:val="0040536D"/>
    <w:rsid w:val="0040714C"/>
    <w:rsid w:val="0040750F"/>
    <w:rsid w:val="004159B7"/>
    <w:rsid w:val="00420916"/>
    <w:rsid w:val="00425BB9"/>
    <w:rsid w:val="00426737"/>
    <w:rsid w:val="004276AE"/>
    <w:rsid w:val="0044040B"/>
    <w:rsid w:val="004465A8"/>
    <w:rsid w:val="00451CA2"/>
    <w:rsid w:val="00454021"/>
    <w:rsid w:val="00460B7F"/>
    <w:rsid w:val="004618DD"/>
    <w:rsid w:val="00463099"/>
    <w:rsid w:val="00464B8F"/>
    <w:rsid w:val="00464D57"/>
    <w:rsid w:val="004654EA"/>
    <w:rsid w:val="0047097A"/>
    <w:rsid w:val="00471617"/>
    <w:rsid w:val="00472E89"/>
    <w:rsid w:val="00476E04"/>
    <w:rsid w:val="0048035E"/>
    <w:rsid w:val="0048314B"/>
    <w:rsid w:val="0048358A"/>
    <w:rsid w:val="004949ED"/>
    <w:rsid w:val="00496AAC"/>
    <w:rsid w:val="004A35EE"/>
    <w:rsid w:val="004B1026"/>
    <w:rsid w:val="004B5551"/>
    <w:rsid w:val="004B636D"/>
    <w:rsid w:val="004B6FB1"/>
    <w:rsid w:val="004C3294"/>
    <w:rsid w:val="004D1577"/>
    <w:rsid w:val="004E4709"/>
    <w:rsid w:val="004E7188"/>
    <w:rsid w:val="005000DE"/>
    <w:rsid w:val="00500BF6"/>
    <w:rsid w:val="005019BE"/>
    <w:rsid w:val="00502995"/>
    <w:rsid w:val="0050480D"/>
    <w:rsid w:val="00504C79"/>
    <w:rsid w:val="00506666"/>
    <w:rsid w:val="005128D2"/>
    <w:rsid w:val="005138F6"/>
    <w:rsid w:val="00514A2A"/>
    <w:rsid w:val="005165F8"/>
    <w:rsid w:val="00517560"/>
    <w:rsid w:val="00520AC5"/>
    <w:rsid w:val="0052194B"/>
    <w:rsid w:val="00523798"/>
    <w:rsid w:val="005327B8"/>
    <w:rsid w:val="005349BC"/>
    <w:rsid w:val="00534F1F"/>
    <w:rsid w:val="0053534D"/>
    <w:rsid w:val="0053713C"/>
    <w:rsid w:val="005431CB"/>
    <w:rsid w:val="00551757"/>
    <w:rsid w:val="005525A4"/>
    <w:rsid w:val="00554167"/>
    <w:rsid w:val="00571CE1"/>
    <w:rsid w:val="00571FBD"/>
    <w:rsid w:val="00574B3B"/>
    <w:rsid w:val="00574EEA"/>
    <w:rsid w:val="0058440A"/>
    <w:rsid w:val="00590101"/>
    <w:rsid w:val="00591A2B"/>
    <w:rsid w:val="005938BC"/>
    <w:rsid w:val="005958A1"/>
    <w:rsid w:val="005A0448"/>
    <w:rsid w:val="005A1029"/>
    <w:rsid w:val="005A10DF"/>
    <w:rsid w:val="005A6A83"/>
    <w:rsid w:val="005B1459"/>
    <w:rsid w:val="005B14A6"/>
    <w:rsid w:val="005B2566"/>
    <w:rsid w:val="005B299B"/>
    <w:rsid w:val="005B5DCB"/>
    <w:rsid w:val="005C0232"/>
    <w:rsid w:val="005C0263"/>
    <w:rsid w:val="005C18D1"/>
    <w:rsid w:val="005C1CFC"/>
    <w:rsid w:val="005C42BC"/>
    <w:rsid w:val="005D0DDE"/>
    <w:rsid w:val="005D1AD7"/>
    <w:rsid w:val="005D4043"/>
    <w:rsid w:val="005D67F3"/>
    <w:rsid w:val="005E108B"/>
    <w:rsid w:val="005E3DA8"/>
    <w:rsid w:val="005E6D5C"/>
    <w:rsid w:val="005F07A7"/>
    <w:rsid w:val="005F3247"/>
    <w:rsid w:val="005F46EF"/>
    <w:rsid w:val="005F7CC7"/>
    <w:rsid w:val="0060342D"/>
    <w:rsid w:val="00604673"/>
    <w:rsid w:val="0060523C"/>
    <w:rsid w:val="00610823"/>
    <w:rsid w:val="0061442D"/>
    <w:rsid w:val="00617442"/>
    <w:rsid w:val="006212AD"/>
    <w:rsid w:val="00621718"/>
    <w:rsid w:val="00623BA8"/>
    <w:rsid w:val="00630F1B"/>
    <w:rsid w:val="00642F50"/>
    <w:rsid w:val="006448AC"/>
    <w:rsid w:val="0064543D"/>
    <w:rsid w:val="006502FC"/>
    <w:rsid w:val="00656820"/>
    <w:rsid w:val="006610C1"/>
    <w:rsid w:val="00664D63"/>
    <w:rsid w:val="006651A1"/>
    <w:rsid w:val="00666258"/>
    <w:rsid w:val="00672275"/>
    <w:rsid w:val="00672B4F"/>
    <w:rsid w:val="00674668"/>
    <w:rsid w:val="006751DA"/>
    <w:rsid w:val="00682A28"/>
    <w:rsid w:val="00683AB4"/>
    <w:rsid w:val="006845A0"/>
    <w:rsid w:val="0068481E"/>
    <w:rsid w:val="0068540F"/>
    <w:rsid w:val="006872D3"/>
    <w:rsid w:val="00690067"/>
    <w:rsid w:val="00690314"/>
    <w:rsid w:val="00690D43"/>
    <w:rsid w:val="00692A81"/>
    <w:rsid w:val="0069349D"/>
    <w:rsid w:val="00696F11"/>
    <w:rsid w:val="006A2681"/>
    <w:rsid w:val="006B02CB"/>
    <w:rsid w:val="006B15D0"/>
    <w:rsid w:val="006B61B7"/>
    <w:rsid w:val="006B6798"/>
    <w:rsid w:val="006B6807"/>
    <w:rsid w:val="006C09A6"/>
    <w:rsid w:val="006C2B13"/>
    <w:rsid w:val="006D0778"/>
    <w:rsid w:val="006D4D83"/>
    <w:rsid w:val="006D763F"/>
    <w:rsid w:val="006E4812"/>
    <w:rsid w:val="006E61F0"/>
    <w:rsid w:val="006E6CC2"/>
    <w:rsid w:val="006F1B7E"/>
    <w:rsid w:val="006F1DC0"/>
    <w:rsid w:val="006F22EF"/>
    <w:rsid w:val="006F30B5"/>
    <w:rsid w:val="006F3DB8"/>
    <w:rsid w:val="00701E08"/>
    <w:rsid w:val="007039D6"/>
    <w:rsid w:val="0070597C"/>
    <w:rsid w:val="00711151"/>
    <w:rsid w:val="0071505C"/>
    <w:rsid w:val="007173BF"/>
    <w:rsid w:val="007175D3"/>
    <w:rsid w:val="00723AD3"/>
    <w:rsid w:val="0072587E"/>
    <w:rsid w:val="00726D62"/>
    <w:rsid w:val="00731A37"/>
    <w:rsid w:val="0074133B"/>
    <w:rsid w:val="007448D3"/>
    <w:rsid w:val="007460F4"/>
    <w:rsid w:val="00747555"/>
    <w:rsid w:val="007645C9"/>
    <w:rsid w:val="00765058"/>
    <w:rsid w:val="00766241"/>
    <w:rsid w:val="00772E45"/>
    <w:rsid w:val="00777824"/>
    <w:rsid w:val="00777DB7"/>
    <w:rsid w:val="00780C04"/>
    <w:rsid w:val="00786B04"/>
    <w:rsid w:val="00795EB3"/>
    <w:rsid w:val="007A4F9E"/>
    <w:rsid w:val="007B15DD"/>
    <w:rsid w:val="007B3A82"/>
    <w:rsid w:val="007B4289"/>
    <w:rsid w:val="007D4307"/>
    <w:rsid w:val="007D5C03"/>
    <w:rsid w:val="007D6994"/>
    <w:rsid w:val="007E3599"/>
    <w:rsid w:val="007E4994"/>
    <w:rsid w:val="007E76CF"/>
    <w:rsid w:val="007F63BE"/>
    <w:rsid w:val="00807AA0"/>
    <w:rsid w:val="00807D78"/>
    <w:rsid w:val="00811666"/>
    <w:rsid w:val="008125E4"/>
    <w:rsid w:val="00817642"/>
    <w:rsid w:val="00817E50"/>
    <w:rsid w:val="00820265"/>
    <w:rsid w:val="00836BFE"/>
    <w:rsid w:val="008425F5"/>
    <w:rsid w:val="00854B0B"/>
    <w:rsid w:val="0085792D"/>
    <w:rsid w:val="008621DB"/>
    <w:rsid w:val="008661FB"/>
    <w:rsid w:val="00866EB0"/>
    <w:rsid w:val="008714D0"/>
    <w:rsid w:val="00877C01"/>
    <w:rsid w:val="0088060F"/>
    <w:rsid w:val="00885CFD"/>
    <w:rsid w:val="00886B30"/>
    <w:rsid w:val="008876B5"/>
    <w:rsid w:val="00892535"/>
    <w:rsid w:val="00892FC5"/>
    <w:rsid w:val="008A5F89"/>
    <w:rsid w:val="008B1B20"/>
    <w:rsid w:val="008B5E4F"/>
    <w:rsid w:val="008C4D08"/>
    <w:rsid w:val="008D0D8C"/>
    <w:rsid w:val="008D4BC6"/>
    <w:rsid w:val="008E29DE"/>
    <w:rsid w:val="008E35E7"/>
    <w:rsid w:val="008E5745"/>
    <w:rsid w:val="008E6BA3"/>
    <w:rsid w:val="008F5D35"/>
    <w:rsid w:val="008F766D"/>
    <w:rsid w:val="009058CB"/>
    <w:rsid w:val="00906353"/>
    <w:rsid w:val="00910C03"/>
    <w:rsid w:val="009114E1"/>
    <w:rsid w:val="00914BF7"/>
    <w:rsid w:val="00915765"/>
    <w:rsid w:val="00917706"/>
    <w:rsid w:val="00917A19"/>
    <w:rsid w:val="00917DB6"/>
    <w:rsid w:val="00920B5A"/>
    <w:rsid w:val="009265CD"/>
    <w:rsid w:val="00936757"/>
    <w:rsid w:val="00937BC1"/>
    <w:rsid w:val="00947466"/>
    <w:rsid w:val="009538C7"/>
    <w:rsid w:val="009669CB"/>
    <w:rsid w:val="00970135"/>
    <w:rsid w:val="00971E64"/>
    <w:rsid w:val="009744A6"/>
    <w:rsid w:val="009774C5"/>
    <w:rsid w:val="00981289"/>
    <w:rsid w:val="009814EF"/>
    <w:rsid w:val="00982F75"/>
    <w:rsid w:val="009839EC"/>
    <w:rsid w:val="00984B88"/>
    <w:rsid w:val="009953D0"/>
    <w:rsid w:val="009A04EA"/>
    <w:rsid w:val="009A0600"/>
    <w:rsid w:val="009A1D24"/>
    <w:rsid w:val="009A2061"/>
    <w:rsid w:val="009B2213"/>
    <w:rsid w:val="009B2D8E"/>
    <w:rsid w:val="009B517D"/>
    <w:rsid w:val="009C35B3"/>
    <w:rsid w:val="009C71DC"/>
    <w:rsid w:val="009C7489"/>
    <w:rsid w:val="009D3F32"/>
    <w:rsid w:val="009E0685"/>
    <w:rsid w:val="009E572E"/>
    <w:rsid w:val="009F263D"/>
    <w:rsid w:val="00A016ED"/>
    <w:rsid w:val="00A02710"/>
    <w:rsid w:val="00A03914"/>
    <w:rsid w:val="00A05F4B"/>
    <w:rsid w:val="00A11198"/>
    <w:rsid w:val="00A125B0"/>
    <w:rsid w:val="00A138DF"/>
    <w:rsid w:val="00A15BE2"/>
    <w:rsid w:val="00A15DB6"/>
    <w:rsid w:val="00A21CA7"/>
    <w:rsid w:val="00A221C4"/>
    <w:rsid w:val="00A25B60"/>
    <w:rsid w:val="00A268F4"/>
    <w:rsid w:val="00A36362"/>
    <w:rsid w:val="00A36C2B"/>
    <w:rsid w:val="00A5548B"/>
    <w:rsid w:val="00A55724"/>
    <w:rsid w:val="00A62B67"/>
    <w:rsid w:val="00A63099"/>
    <w:rsid w:val="00A66E39"/>
    <w:rsid w:val="00A7173E"/>
    <w:rsid w:val="00A73E0D"/>
    <w:rsid w:val="00A74C35"/>
    <w:rsid w:val="00A7711E"/>
    <w:rsid w:val="00A7779F"/>
    <w:rsid w:val="00A8413C"/>
    <w:rsid w:val="00A903AE"/>
    <w:rsid w:val="00A9216D"/>
    <w:rsid w:val="00A92FC3"/>
    <w:rsid w:val="00AB0EBA"/>
    <w:rsid w:val="00AC47E1"/>
    <w:rsid w:val="00AD2E8F"/>
    <w:rsid w:val="00AD3564"/>
    <w:rsid w:val="00AD584C"/>
    <w:rsid w:val="00AE02F5"/>
    <w:rsid w:val="00AE1195"/>
    <w:rsid w:val="00AE1AA0"/>
    <w:rsid w:val="00AE3F26"/>
    <w:rsid w:val="00AF2828"/>
    <w:rsid w:val="00AF293A"/>
    <w:rsid w:val="00AF2A66"/>
    <w:rsid w:val="00B00131"/>
    <w:rsid w:val="00B055AD"/>
    <w:rsid w:val="00B21EAE"/>
    <w:rsid w:val="00B2587D"/>
    <w:rsid w:val="00B31F71"/>
    <w:rsid w:val="00B330E0"/>
    <w:rsid w:val="00B40696"/>
    <w:rsid w:val="00B44100"/>
    <w:rsid w:val="00B4623E"/>
    <w:rsid w:val="00B528B2"/>
    <w:rsid w:val="00B5419D"/>
    <w:rsid w:val="00B55656"/>
    <w:rsid w:val="00B6150B"/>
    <w:rsid w:val="00B647FB"/>
    <w:rsid w:val="00B7049B"/>
    <w:rsid w:val="00B74675"/>
    <w:rsid w:val="00B870F7"/>
    <w:rsid w:val="00B9151B"/>
    <w:rsid w:val="00B920EE"/>
    <w:rsid w:val="00B92C37"/>
    <w:rsid w:val="00B94AFF"/>
    <w:rsid w:val="00BA03FC"/>
    <w:rsid w:val="00BA1AA0"/>
    <w:rsid w:val="00BA2EC8"/>
    <w:rsid w:val="00BC0D67"/>
    <w:rsid w:val="00BC21B2"/>
    <w:rsid w:val="00BC4567"/>
    <w:rsid w:val="00BC5C99"/>
    <w:rsid w:val="00BD1DAD"/>
    <w:rsid w:val="00BD2155"/>
    <w:rsid w:val="00BD65E4"/>
    <w:rsid w:val="00BD76A5"/>
    <w:rsid w:val="00BE4A50"/>
    <w:rsid w:val="00BF57D8"/>
    <w:rsid w:val="00BF5AAF"/>
    <w:rsid w:val="00BF5C87"/>
    <w:rsid w:val="00C06FC8"/>
    <w:rsid w:val="00C12C8C"/>
    <w:rsid w:val="00C17962"/>
    <w:rsid w:val="00C20EEF"/>
    <w:rsid w:val="00C2516E"/>
    <w:rsid w:val="00C25C75"/>
    <w:rsid w:val="00C31D15"/>
    <w:rsid w:val="00C356F5"/>
    <w:rsid w:val="00C4455C"/>
    <w:rsid w:val="00C47598"/>
    <w:rsid w:val="00C52679"/>
    <w:rsid w:val="00C6171D"/>
    <w:rsid w:val="00C61BE3"/>
    <w:rsid w:val="00C667A4"/>
    <w:rsid w:val="00C72B8E"/>
    <w:rsid w:val="00C73AB3"/>
    <w:rsid w:val="00C834F3"/>
    <w:rsid w:val="00C877FA"/>
    <w:rsid w:val="00C914C8"/>
    <w:rsid w:val="00C92F75"/>
    <w:rsid w:val="00C956C5"/>
    <w:rsid w:val="00CA0E84"/>
    <w:rsid w:val="00CA38A1"/>
    <w:rsid w:val="00CA5273"/>
    <w:rsid w:val="00CA7ADD"/>
    <w:rsid w:val="00CA7BF9"/>
    <w:rsid w:val="00CB00D7"/>
    <w:rsid w:val="00CB07CD"/>
    <w:rsid w:val="00CB5AA4"/>
    <w:rsid w:val="00CC0721"/>
    <w:rsid w:val="00CC54EB"/>
    <w:rsid w:val="00CD28ED"/>
    <w:rsid w:val="00CE1DFF"/>
    <w:rsid w:val="00CE635B"/>
    <w:rsid w:val="00CF446C"/>
    <w:rsid w:val="00D02F9F"/>
    <w:rsid w:val="00D0455B"/>
    <w:rsid w:val="00D04827"/>
    <w:rsid w:val="00D1033F"/>
    <w:rsid w:val="00D10A4F"/>
    <w:rsid w:val="00D16684"/>
    <w:rsid w:val="00D2015C"/>
    <w:rsid w:val="00D24AFD"/>
    <w:rsid w:val="00D24F6D"/>
    <w:rsid w:val="00D27699"/>
    <w:rsid w:val="00D30D6A"/>
    <w:rsid w:val="00D31CA5"/>
    <w:rsid w:val="00D365B7"/>
    <w:rsid w:val="00D36B8A"/>
    <w:rsid w:val="00D408D7"/>
    <w:rsid w:val="00D42E94"/>
    <w:rsid w:val="00D435B4"/>
    <w:rsid w:val="00D50EF6"/>
    <w:rsid w:val="00D517C8"/>
    <w:rsid w:val="00D5362A"/>
    <w:rsid w:val="00D5436A"/>
    <w:rsid w:val="00D554CD"/>
    <w:rsid w:val="00D62FC0"/>
    <w:rsid w:val="00D643B5"/>
    <w:rsid w:val="00D678C0"/>
    <w:rsid w:val="00D72B64"/>
    <w:rsid w:val="00D775B9"/>
    <w:rsid w:val="00D81623"/>
    <w:rsid w:val="00D821D5"/>
    <w:rsid w:val="00D945CD"/>
    <w:rsid w:val="00D96003"/>
    <w:rsid w:val="00DA20A4"/>
    <w:rsid w:val="00DA4FA8"/>
    <w:rsid w:val="00DB1709"/>
    <w:rsid w:val="00DB5161"/>
    <w:rsid w:val="00DC376F"/>
    <w:rsid w:val="00DC759B"/>
    <w:rsid w:val="00DD15F4"/>
    <w:rsid w:val="00DD2F30"/>
    <w:rsid w:val="00DD61B9"/>
    <w:rsid w:val="00DE347B"/>
    <w:rsid w:val="00DE4D14"/>
    <w:rsid w:val="00DF1AC0"/>
    <w:rsid w:val="00DF5208"/>
    <w:rsid w:val="00DF5B75"/>
    <w:rsid w:val="00DF6D50"/>
    <w:rsid w:val="00E15FB0"/>
    <w:rsid w:val="00E20449"/>
    <w:rsid w:val="00E21B32"/>
    <w:rsid w:val="00E228EC"/>
    <w:rsid w:val="00E24113"/>
    <w:rsid w:val="00E26B08"/>
    <w:rsid w:val="00E27648"/>
    <w:rsid w:val="00E27B0B"/>
    <w:rsid w:val="00E31C30"/>
    <w:rsid w:val="00E40A5D"/>
    <w:rsid w:val="00E430E8"/>
    <w:rsid w:val="00E50DF1"/>
    <w:rsid w:val="00E62296"/>
    <w:rsid w:val="00E71965"/>
    <w:rsid w:val="00E94A41"/>
    <w:rsid w:val="00EB6898"/>
    <w:rsid w:val="00EC335C"/>
    <w:rsid w:val="00EC540F"/>
    <w:rsid w:val="00EC7A82"/>
    <w:rsid w:val="00ED166E"/>
    <w:rsid w:val="00ED1819"/>
    <w:rsid w:val="00ED542D"/>
    <w:rsid w:val="00ED6CD7"/>
    <w:rsid w:val="00EE3823"/>
    <w:rsid w:val="00EE569B"/>
    <w:rsid w:val="00EE72D8"/>
    <w:rsid w:val="00EE7613"/>
    <w:rsid w:val="00EE76FB"/>
    <w:rsid w:val="00EF3E7D"/>
    <w:rsid w:val="00EF6A25"/>
    <w:rsid w:val="00F00B0B"/>
    <w:rsid w:val="00F0529E"/>
    <w:rsid w:val="00F077EA"/>
    <w:rsid w:val="00F161D9"/>
    <w:rsid w:val="00F16B8F"/>
    <w:rsid w:val="00F16C44"/>
    <w:rsid w:val="00F20016"/>
    <w:rsid w:val="00F24C9E"/>
    <w:rsid w:val="00F326EB"/>
    <w:rsid w:val="00F335A0"/>
    <w:rsid w:val="00F33678"/>
    <w:rsid w:val="00F33A9F"/>
    <w:rsid w:val="00F51409"/>
    <w:rsid w:val="00F55909"/>
    <w:rsid w:val="00F55ED1"/>
    <w:rsid w:val="00F56DE7"/>
    <w:rsid w:val="00F57B9A"/>
    <w:rsid w:val="00F6226A"/>
    <w:rsid w:val="00F65E2C"/>
    <w:rsid w:val="00F673F7"/>
    <w:rsid w:val="00F73642"/>
    <w:rsid w:val="00F76D20"/>
    <w:rsid w:val="00F81927"/>
    <w:rsid w:val="00F83419"/>
    <w:rsid w:val="00F878AD"/>
    <w:rsid w:val="00F91B00"/>
    <w:rsid w:val="00FA25A8"/>
    <w:rsid w:val="00FB2180"/>
    <w:rsid w:val="00FB321A"/>
    <w:rsid w:val="00FC1B89"/>
    <w:rsid w:val="00FC2503"/>
    <w:rsid w:val="00FD1C26"/>
    <w:rsid w:val="00FD1D80"/>
    <w:rsid w:val="00FD26B9"/>
    <w:rsid w:val="00FD6C18"/>
    <w:rsid w:val="00FE66E8"/>
    <w:rsid w:val="00FF01CA"/>
    <w:rsid w:val="00FF156A"/>
    <w:rsid w:val="01AF6B3B"/>
    <w:rsid w:val="0E7D2486"/>
    <w:rsid w:val="102F59D4"/>
    <w:rsid w:val="1A880922"/>
    <w:rsid w:val="1F4D1F29"/>
    <w:rsid w:val="24FB75F8"/>
    <w:rsid w:val="3D517E4B"/>
    <w:rsid w:val="413B6EC2"/>
    <w:rsid w:val="4C171E99"/>
    <w:rsid w:val="68B61C7F"/>
    <w:rsid w:val="6E134209"/>
    <w:rsid w:val="7A057FC0"/>
    <w:rsid w:val="7FB30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nhideWhenUsed/>
    <w:qFormat/>
    <w:uiPriority w:val="0"/>
    <w:pPr>
      <w:adjustRightInd/>
      <w:spacing w:line="240" w:lineRule="auto"/>
    </w:pPr>
    <w:rPr>
      <w:rFonts w:ascii="宋体" w:hAnsi="Courier New"/>
      <w:kern w:val="2"/>
    </w:r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纯文本 Char"/>
    <w:basedOn w:val="7"/>
    <w:link w:val="2"/>
    <w:qFormat/>
    <w:uiPriority w:val="0"/>
    <w:rPr>
      <w:rFonts w:ascii="宋体" w:hAnsi="Courier New" w:eastAsia="宋体" w:cs="Times New Roman"/>
      <w:szCs w:val="20"/>
    </w:rPr>
  </w:style>
  <w:style w:type="character" w:customStyle="1" w:styleId="9">
    <w:name w:val="页眉 Char"/>
    <w:basedOn w:val="7"/>
    <w:link w:val="5"/>
    <w:semiHidden/>
    <w:qFormat/>
    <w:uiPriority w:val="99"/>
    <w:rPr>
      <w:rFonts w:ascii="Times New Roman" w:hAnsi="Times New Roman" w:eastAsia="宋体" w:cs="Times New Roman"/>
      <w:kern w:val="0"/>
      <w:sz w:val="18"/>
      <w:szCs w:val="18"/>
    </w:rPr>
  </w:style>
  <w:style w:type="character" w:customStyle="1" w:styleId="10">
    <w:name w:val="页脚 Char"/>
    <w:basedOn w:val="7"/>
    <w:link w:val="4"/>
    <w:semiHidden/>
    <w:qFormat/>
    <w:uiPriority w:val="99"/>
    <w:rPr>
      <w:rFonts w:ascii="Times New Roman" w:hAnsi="Times New Roman" w:eastAsia="宋体" w:cs="Times New Roman"/>
      <w:kern w:val="0"/>
      <w:sz w:val="18"/>
      <w:szCs w:val="18"/>
    </w:rPr>
  </w:style>
  <w:style w:type="character" w:customStyle="1" w:styleId="11">
    <w:name w:val="批注框文本 Char"/>
    <w:basedOn w:val="7"/>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中国仙剑音乐网</Company>
  <Pages>3</Pages>
  <Words>157</Words>
  <Characters>897</Characters>
  <Lines>7</Lines>
  <Paragraphs>2</Paragraphs>
  <TotalTime>32</TotalTime>
  <ScaleCrop>false</ScaleCrop>
  <LinksUpToDate>false</LinksUpToDate>
  <CharactersWithSpaces>1052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2018-06-26T07:25:00Z</dcterms:created>
  <dc:creator>牛嘉丽</dc:creator>
  <cp:lastModifiedBy>fw</cp:lastModifiedBy>
  <cp:lastPrinted>2018-09-28T03:07:00Z</cp:lastPrinted>
  <dcterms:modified xsi:type="dcterms:W3CDTF">2021-06-16T07:23:46Z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22C95D1328564FB9A945296287EA61DF</vt:lpwstr>
  </property>
</Properties>
</file>