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附件</w:t>
      </w:r>
      <w:r>
        <w:rPr>
          <w:rFonts w:hint="eastAsia" w:ascii="黑体" w:hAnsi="黑体" w:eastAsia="黑体" w:cs="黑体"/>
          <w:spacing w:val="8"/>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中川园区</w:t>
      </w:r>
      <w:r>
        <w:rPr>
          <w:rFonts w:hint="eastAsia" w:ascii="方正小标宋简体" w:hAnsi="方正小标宋简体" w:eastAsia="方正小标宋简体" w:cs="方正小标宋简体"/>
          <w:sz w:val="44"/>
          <w:szCs w:val="44"/>
        </w:rPr>
        <w:t>危险化学品安全专项整治</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三年行动实施方案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中共中央办公厅、国务院办公厅《关于全面加强危险化学品安全生产工作的意见》，推动国务院安委办《全国安全生产专项整治三年行动计划》的落实，牢固树立“安全第一、生命至上”的发展理念，从根本上化解重大安全风险，提升危险化学品领域本质安全水平，根据《中川园区安全生产专项整治三年行动实施方案》，结合园区危险化学品领域实际情况，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一、整治目标</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通过实施三年行动，</w:t>
      </w:r>
      <w:r>
        <w:rPr>
          <w:rFonts w:hint="eastAsia" w:ascii="仿宋_GB2312" w:hAnsi="仿宋_GB2312" w:eastAsia="仿宋_GB2312" w:cs="仿宋_GB2312"/>
          <w:sz w:val="32"/>
          <w:szCs w:val="32"/>
          <w:lang w:val="en-US" w:eastAsia="zh-CN"/>
        </w:rPr>
        <w:t>建立和完善</w:t>
      </w:r>
      <w:r>
        <w:rPr>
          <w:rFonts w:hint="eastAsia" w:ascii="仿宋_GB2312" w:hAnsi="仿宋_GB2312" w:eastAsia="仿宋_GB2312" w:cs="仿宋_GB2312"/>
          <w:sz w:val="32"/>
          <w:szCs w:val="32"/>
        </w:rPr>
        <w:t>从根本上消除危险化学品事故隐患的责任体系，扎实推进危险化学品安全治理体系和治理能力现代化。</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危险化学品生产、贮存、使用、经营、运输、处置等环节相关安全监管责任进一步完善落实,消除监管盲区漏洞;强化企业主体责任落实,建立以风险分级管控和隐患排查治理为重点的危险化学品安全预防控制体系。到2022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年底前,涉及“两重点一重大”生产装置和储存设施的自动化系统装备投用率达到100%、涉及重大危险源企业安全预防控制体系建设率达到100%、化工企业主要负责人和安全管理人员等考核达标率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100%,危险化学品本质安全水平明显提升,事故总量持续下降，</w:t>
      </w:r>
      <w:r>
        <w:rPr>
          <w:rFonts w:hint="eastAsia" w:ascii="仿宋_GB2312" w:hAnsi="仿宋_GB2312" w:eastAsia="仿宋_GB2312" w:cs="仿宋_GB2312"/>
          <w:sz w:val="32"/>
          <w:szCs w:val="32"/>
          <w:lang w:val="en-US" w:eastAsia="zh-CN"/>
        </w:rPr>
        <w:t>较大以上</w:t>
      </w:r>
      <w:r>
        <w:rPr>
          <w:rFonts w:hint="eastAsia" w:ascii="仿宋_GB2312" w:hAnsi="仿宋_GB2312" w:eastAsia="仿宋_GB2312" w:cs="仿宋_GB2312"/>
          <w:sz w:val="32"/>
          <w:szCs w:val="32"/>
        </w:rPr>
        <w:t>事故得到有效遏制，</w:t>
      </w:r>
      <w:r>
        <w:rPr>
          <w:rFonts w:hint="eastAsia" w:ascii="仿宋_GB2312" w:hAnsi="仿宋_GB2312" w:eastAsia="仿宋_GB2312" w:cs="仿宋_GB2312"/>
          <w:sz w:val="32"/>
          <w:szCs w:val="32"/>
          <w:lang w:val="en-US" w:eastAsia="zh-CN"/>
        </w:rPr>
        <w:t>切实保障</w:t>
      </w:r>
      <w:r>
        <w:rPr>
          <w:rFonts w:hint="eastAsia" w:ascii="仿宋_GB2312" w:hAnsi="仿宋_GB2312" w:eastAsia="仿宋_GB2312" w:cs="仿宋_GB2312"/>
          <w:sz w:val="32"/>
          <w:szCs w:val="32"/>
        </w:rPr>
        <w:t>人民群众生命财产安全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为园区高质量发展创造优良的安全环境。</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693"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主要任务</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93"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强化重点安全风险管控，</w:t>
      </w:r>
      <w:r>
        <w:rPr>
          <w:rFonts w:hint="eastAsia" w:ascii="楷体_GB2312" w:hAnsi="楷体_GB2312" w:eastAsia="楷体_GB2312" w:cs="楷体_GB2312"/>
          <w:b/>
          <w:bCs/>
          <w:sz w:val="32"/>
          <w:szCs w:val="32"/>
        </w:rPr>
        <w:t>提升危险化学品风险管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控能力。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源头管控，严格</w:t>
      </w:r>
      <w:r>
        <w:rPr>
          <w:rFonts w:hint="eastAsia" w:ascii="仿宋_GB2312" w:hAnsi="仿宋_GB2312" w:eastAsia="仿宋_GB2312" w:cs="仿宋_GB2312"/>
          <w:b/>
          <w:bCs/>
          <w:sz w:val="32"/>
          <w:szCs w:val="32"/>
        </w:rPr>
        <w:t>风险化工项目准入条件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牢固树立安全发展理念,强化源头管控,</w:t>
      </w:r>
      <w:r>
        <w:rPr>
          <w:rFonts w:hint="eastAsia" w:ascii="仿宋_GB2312" w:hAnsi="仿宋_GB2312" w:eastAsia="仿宋_GB2312" w:cs="仿宋_GB2312"/>
          <w:sz w:val="32"/>
          <w:szCs w:val="32"/>
          <w:lang w:val="en-US" w:eastAsia="zh-CN"/>
        </w:rPr>
        <w:t>严禁不符合安全生产标准规范和不成熟工艺的危险化学品建设项目入园</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w:t>
      </w:r>
      <w:r>
        <w:rPr>
          <w:rFonts w:hint="eastAsia" w:ascii="仿宋_GB2312" w:hAnsi="仿宋_GB2312" w:eastAsia="仿宋_GB2312" w:cs="仿宋_GB2312"/>
          <w:sz w:val="32"/>
          <w:szCs w:val="32"/>
          <w:lang w:val="en-US" w:eastAsia="zh-CN"/>
        </w:rPr>
        <w:t>按照新区</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出台的本地区</w:t>
      </w:r>
      <w:r>
        <w:rPr>
          <w:rFonts w:hint="eastAsia" w:ascii="仿宋_GB2312" w:hAnsi="仿宋_GB2312" w:eastAsia="仿宋_GB2312" w:cs="仿宋_GB2312"/>
          <w:sz w:val="32"/>
          <w:szCs w:val="32"/>
        </w:rPr>
        <w:t>危险化学品“禁限控”目录,对涉及光气、氯气、氨气等有毒气体(以下简称有毒气体),硝酸铵、硝基服、氯酸铵等爆炸危险性化学品(指《危险化学品目录》中危险性类别为爆炸物的危险化学品)的建设项目严格控制,严禁已淘汰的落后产能进园入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建立健全</w:t>
      </w:r>
      <w:r>
        <w:rPr>
          <w:rFonts w:hint="eastAsia" w:ascii="仿宋_GB2312" w:hAnsi="仿宋_GB2312" w:eastAsia="仿宋_GB2312" w:cs="仿宋_GB2312"/>
          <w:b/>
          <w:bCs/>
          <w:sz w:val="32"/>
          <w:szCs w:val="32"/>
        </w:rPr>
        <w:t>企业安全风险隐患排查治理</w:t>
      </w:r>
      <w:r>
        <w:rPr>
          <w:rFonts w:hint="eastAsia" w:ascii="仿宋_GB2312" w:hAnsi="仿宋_GB2312" w:eastAsia="仿宋_GB2312" w:cs="仿宋_GB2312"/>
          <w:b/>
          <w:bCs/>
          <w:sz w:val="32"/>
          <w:szCs w:val="32"/>
          <w:lang w:val="en-US" w:eastAsia="zh-CN"/>
        </w:rPr>
        <w:t>工作机制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督促辖区内危险化学品企业按照《危险化学品企业安全风险隐患排查治理导则》</w:t>
      </w:r>
      <w:r>
        <w:rPr>
          <w:rFonts w:hint="eastAsia" w:ascii="仿宋_GB2312" w:hAnsi="仿宋_GB2312" w:eastAsia="仿宋_GB2312" w:cs="仿宋_GB2312"/>
          <w:sz w:val="32"/>
          <w:szCs w:val="32"/>
          <w:lang w:val="en-US" w:eastAsia="zh-CN"/>
        </w:rPr>
        <w:t>建立隐患排查治理制度</w:t>
      </w:r>
      <w:r>
        <w:rPr>
          <w:rFonts w:hint="eastAsia" w:ascii="仿宋_GB2312" w:hAnsi="仿宋_GB2312" w:eastAsia="仿宋_GB2312" w:cs="仿宋_GB2312"/>
          <w:sz w:val="32"/>
          <w:szCs w:val="32"/>
        </w:rPr>
        <w:t>,在2020年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底前全面完成安全风险隐患自查工作并制定整改方案,对于</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重大隐患</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要依法上报</w:t>
      </w:r>
      <w:r>
        <w:rPr>
          <w:rFonts w:hint="eastAsia" w:ascii="仿宋_GB2312" w:hAnsi="仿宋_GB2312" w:eastAsia="仿宋_GB2312" w:cs="仿宋_GB2312"/>
          <w:sz w:val="32"/>
          <w:szCs w:val="32"/>
          <w:lang w:val="en-US" w:eastAsia="zh-CN"/>
        </w:rPr>
        <w:t>新区</w:t>
      </w:r>
      <w:r>
        <w:rPr>
          <w:rFonts w:hint="eastAsia" w:ascii="仿宋_GB2312" w:hAnsi="仿宋_GB2312" w:eastAsia="仿宋_GB2312" w:cs="仿宋_GB2312"/>
          <w:sz w:val="32"/>
          <w:szCs w:val="32"/>
        </w:rPr>
        <w:t>有关监管部门并实施挂牌督办,经整改仍达不到安全生产条件的，依法予以关闭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组织开展危险化学品安全生产许可“回头看”,2020年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底前要对安全风险评估等级为“红、橙”的企业对照安全生产许可条件</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核查,从源头提</w:t>
      </w:r>
      <w:r>
        <w:rPr>
          <w:rFonts w:hint="eastAsia" w:ascii="仿宋_GB2312" w:hAnsi="仿宋_GB2312" w:eastAsia="仿宋_GB2312" w:cs="仿宋_GB2312"/>
          <w:sz w:val="32"/>
          <w:szCs w:val="32"/>
          <w:lang w:val="en-US" w:eastAsia="zh-CN"/>
        </w:rPr>
        <w:t>升</w:t>
      </w:r>
      <w:r>
        <w:rPr>
          <w:rFonts w:hint="eastAsia" w:ascii="仿宋_GB2312" w:hAnsi="仿宋_GB2312" w:eastAsia="仿宋_GB2312" w:cs="仿宋_GB2312"/>
          <w:sz w:val="32"/>
          <w:szCs w:val="32"/>
        </w:rPr>
        <w:t>企业的安全保障能力。</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涉及重大危险源的危险化学品企业</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以安全风险分级管控和隐患排查治理为重点的安全预防控制体系。</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加强</w:t>
      </w:r>
      <w:r>
        <w:rPr>
          <w:rFonts w:hint="eastAsia" w:ascii="仿宋_GB2312" w:hAnsi="仿宋_GB2312" w:eastAsia="仿宋_GB2312" w:cs="仿宋_GB2312"/>
          <w:b/>
          <w:bCs/>
          <w:sz w:val="32"/>
          <w:szCs w:val="32"/>
        </w:rPr>
        <w:t>危险化学品运输、使用和废弃处置安全管理。</w:t>
      </w:r>
      <w:r>
        <w:rPr>
          <w:rFonts w:hint="eastAsia" w:ascii="仿宋_GB2312" w:hAnsi="仿宋_GB2312" w:eastAsia="仿宋_GB2312" w:cs="仿宋_GB2312"/>
          <w:sz w:val="32"/>
          <w:szCs w:val="32"/>
          <w:lang w:val="en-US" w:eastAsia="zh-CN"/>
        </w:rPr>
        <w:t>公安交警部门要</w:t>
      </w:r>
      <w:r>
        <w:rPr>
          <w:rFonts w:hint="eastAsia" w:ascii="仿宋_GB2312" w:hAnsi="仿宋_GB2312" w:eastAsia="仿宋_GB2312" w:cs="仿宋_GB2312"/>
          <w:sz w:val="32"/>
          <w:szCs w:val="32"/>
        </w:rPr>
        <w:t>加强危险化学品等危险货物运输</w:t>
      </w:r>
      <w:r>
        <w:rPr>
          <w:rFonts w:hint="eastAsia" w:ascii="仿宋_GB2312" w:hAnsi="仿宋_GB2312" w:eastAsia="仿宋_GB2312" w:cs="仿宋_GB2312"/>
          <w:sz w:val="32"/>
          <w:szCs w:val="32"/>
          <w:lang w:eastAsia="zh-CN"/>
        </w:rPr>
        <w:t>车辆的</w:t>
      </w:r>
      <w:r>
        <w:rPr>
          <w:rFonts w:hint="eastAsia" w:ascii="仿宋_GB2312" w:hAnsi="仿宋_GB2312" w:eastAsia="仿宋_GB2312" w:cs="仿宋_GB2312"/>
          <w:sz w:val="32"/>
          <w:szCs w:val="32"/>
        </w:rPr>
        <w:t>安全监管,严禁未经许可擅自开展经营性运输。强化托运、承运、装卸、车辆运行等危险货物运输全链条安全监管。开展危险货物运输车辆防撞报警系统相关标准贯彻实施,2022年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危险货物运输车辆要全部强制安装远程提醒监控系统,实行运输过程实时定位及路径记录。严格执行禁运危险化学品目录和危险货物道路运输安全管理办法,严格特大型公路桥梁、特长公路隧道、饮用水源地危险货物运输车辆通行管控。加强机场、铁路车站以及与铁路接轨的专用线、专用铁路等危险货物装卸、储存场所和设施的安全监管,对不符合安全生产条件的进行清理整顿。</w:t>
      </w:r>
      <w:r>
        <w:rPr>
          <w:rFonts w:hint="eastAsia" w:ascii="仿宋_GB2312" w:hAnsi="仿宋_GB2312" w:eastAsia="仿宋_GB2312" w:cs="仿宋_GB2312"/>
          <w:sz w:val="32"/>
          <w:szCs w:val="32"/>
          <w:lang w:val="en-US" w:eastAsia="zh-CN"/>
        </w:rPr>
        <w:t>安监部门要</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对重点</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医院、学校、科研机构等使用危险化学品单位的安全管理。</w:t>
      </w:r>
      <w:r>
        <w:rPr>
          <w:rFonts w:hint="eastAsia" w:ascii="仿宋_GB2312" w:hAnsi="仿宋_GB2312" w:eastAsia="仿宋_GB2312" w:cs="仿宋_GB2312"/>
          <w:sz w:val="32"/>
          <w:szCs w:val="32"/>
          <w:lang w:val="en-US" w:eastAsia="zh-CN"/>
        </w:rPr>
        <w:t>环保部门要</w:t>
      </w:r>
      <w:r>
        <w:rPr>
          <w:rFonts w:hint="eastAsia" w:ascii="仿宋_GB2312" w:hAnsi="仿宋_GB2312" w:eastAsia="仿宋_GB2312" w:cs="仿宋_GB2312"/>
          <w:sz w:val="32"/>
          <w:szCs w:val="32"/>
        </w:rPr>
        <w:t>组织开展废弃危险化学品等危险废物排查,重点整治</w:t>
      </w:r>
      <w:r>
        <w:rPr>
          <w:rFonts w:hint="eastAsia" w:ascii="仿宋_GB2312" w:hAnsi="仿宋_GB2312" w:eastAsia="仿宋_GB2312" w:cs="仿宋_GB2312"/>
          <w:sz w:val="32"/>
          <w:szCs w:val="32"/>
          <w:lang w:val="en-US" w:eastAsia="zh-CN"/>
        </w:rPr>
        <w:t>危险化学品重大危险源企业</w:t>
      </w:r>
      <w:r>
        <w:rPr>
          <w:rFonts w:hint="eastAsia" w:ascii="仿宋_GB2312" w:hAnsi="仿宋_GB2312" w:eastAsia="仿宋_GB2312" w:cs="仿宋_GB2312"/>
          <w:sz w:val="32"/>
          <w:szCs w:val="32"/>
        </w:rPr>
        <w:t>随意倾倒、私自填埋危险废物等问题,确保危险废物贮存、运输、处置安全。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lang w:val="en-US" w:eastAsia="zh-CN"/>
        </w:rPr>
        <w:t>（二）降低重大安全风险，</w:t>
      </w:r>
      <w:r>
        <w:rPr>
          <w:rFonts w:hint="eastAsia" w:ascii="楷体_GB2312" w:hAnsi="楷体_GB2312" w:eastAsia="楷体_GB2312" w:cs="楷体_GB2312"/>
          <w:b/>
          <w:bCs/>
          <w:sz w:val="32"/>
          <w:szCs w:val="32"/>
        </w:rPr>
        <w:t>提高危险化学品企业本质安全水平。</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1.全面排查管控危险化学品生产储存企业外部安全防护距离。</w:t>
      </w:r>
      <w:r>
        <w:rPr>
          <w:rFonts w:hint="eastAsia" w:ascii="仿宋_GB2312" w:hAnsi="仿宋_GB2312" w:eastAsia="仿宋_GB2312" w:cs="仿宋_GB2312"/>
          <w:sz w:val="32"/>
          <w:szCs w:val="32"/>
        </w:rPr>
        <w:t>按照《危险化学品生产装置和储存设施风险基准》(GB 36894-2018)和《危险化学品生产装置和储存设施外部安全防护距离确定方法》(GB/T 37243-2019)等标准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督促危险化学品生产储存企业规范确定外部安全防护距离。不符合外部安全防护距离要求的涉及“两重点一重大”的生产装置和储存设施,经评估具备就地整改条件的,整改工作必须在2020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年底前完成,未完成整改的一律停止使用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爆炸危险性化学品的生产和储存企业要保持足够的外部安全防护距离,严禁超设计量储存,并尽可能减少储存量,防止安全风险外溢。</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改造提升安全设施，</w:t>
      </w:r>
      <w:r>
        <w:rPr>
          <w:rFonts w:hint="eastAsia" w:ascii="仿宋_GB2312" w:hAnsi="仿宋_GB2312" w:eastAsia="仿宋_GB2312" w:cs="仿宋_GB2312"/>
          <w:b/>
          <w:bCs/>
          <w:sz w:val="32"/>
          <w:szCs w:val="32"/>
        </w:rPr>
        <w:t>提</w:t>
      </w:r>
      <w:r>
        <w:rPr>
          <w:rFonts w:hint="eastAsia" w:ascii="仿宋_GB2312" w:hAnsi="仿宋_GB2312" w:eastAsia="仿宋_GB2312" w:cs="仿宋_GB2312"/>
          <w:b/>
          <w:bCs/>
          <w:sz w:val="32"/>
          <w:szCs w:val="32"/>
          <w:lang w:val="en-US" w:eastAsia="zh-CN"/>
        </w:rPr>
        <w:t>高</w:t>
      </w:r>
      <w:r>
        <w:rPr>
          <w:rFonts w:hint="eastAsia" w:ascii="仿宋_GB2312" w:hAnsi="仿宋_GB2312" w:eastAsia="仿宋_GB2312" w:cs="仿宋_GB2312"/>
          <w:b/>
          <w:bCs/>
          <w:sz w:val="32"/>
          <w:szCs w:val="32"/>
        </w:rPr>
        <w:t>危险化学品企业自动化控制水平。</w:t>
      </w:r>
      <w:r>
        <w:rPr>
          <w:rFonts w:hint="eastAsia" w:ascii="仿宋_GB2312" w:hAnsi="仿宋_GB2312" w:eastAsia="仿宋_GB2312" w:cs="仿宋_GB2312"/>
          <w:sz w:val="32"/>
          <w:szCs w:val="32"/>
        </w:rPr>
        <w:t>积极推广应用机械化、自动化生产设备设施,实现机械化减人、自动化换人,降低高危岗位现场作业人员数量。继续推进“两重点一重大”生产装置、储存设施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可燃气体和有毒气体泄漏检测报警装置、紧急切断装置、自动化控制系统的建设</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底前涉及“两重点一重大”的生产装置、储存设施的上述系统装备和使用率必须达到100%,未实现或未投用的,一律停产整改。2022年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底前所有涉及硝化、氯化、</w:t>
      </w:r>
      <w:r>
        <w:rPr>
          <w:rFonts w:hint="eastAsia" w:ascii="仿宋_GB2312" w:hAnsi="仿宋_GB2312" w:eastAsia="仿宋_GB2312" w:cs="仿宋_GB2312"/>
          <w:sz w:val="32"/>
          <w:szCs w:val="32"/>
          <w:lang w:val="en-US" w:eastAsia="zh-CN"/>
        </w:rPr>
        <w:t>氟化、</w:t>
      </w:r>
      <w:r>
        <w:rPr>
          <w:rFonts w:hint="eastAsia" w:ascii="仿宋_GB2312" w:hAnsi="仿宋_GB2312" w:eastAsia="仿宋_GB2312" w:cs="仿宋_GB2312"/>
          <w:sz w:val="32"/>
          <w:szCs w:val="32"/>
        </w:rPr>
        <w:t>重氮化、过氧化工艺装置的上下游配套装置必须实现自动化控制,最大限度减少作业场所人数。具有甲乙类火灾危险性、粉尘爆炸危险性、中毒危险性的厂房(含装置或车间)和仓库内的办公室、休息室、外操室、巡检室,2020年8月前必须予以拆除。</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推动在线监测预警系统运行。</w:t>
      </w:r>
      <w:r>
        <w:rPr>
          <w:rFonts w:hint="eastAsia" w:ascii="仿宋_GB2312" w:hAnsi="仿宋_GB2312" w:eastAsia="仿宋_GB2312" w:cs="仿宋_GB2312"/>
          <w:sz w:val="32"/>
          <w:szCs w:val="32"/>
          <w:lang w:val="en-US" w:eastAsia="zh-CN"/>
        </w:rPr>
        <w:t>按照《甘肃省应急管理厅关于加快推进危险化学品安全生产风险监测预警系统建设的通知》精神，督促辖区危险化学品企业开展接入准备工作，建立安全风险研判和承诺公告制度，及时处置预警信息。</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（三）加大技能人员培训，</w:t>
      </w:r>
      <w:r>
        <w:rPr>
          <w:rFonts w:hint="eastAsia" w:ascii="楷体_GB2312" w:hAnsi="楷体_GB2312" w:eastAsia="楷体_GB2312" w:cs="楷体_GB2312"/>
          <w:b/>
          <w:bCs/>
          <w:sz w:val="32"/>
          <w:szCs w:val="32"/>
        </w:rPr>
        <w:t>提升从业人员专业素质。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1.强化从业人员继续教育培训，做到持证上岗。</w:t>
      </w:r>
      <w:r>
        <w:rPr>
          <w:rFonts w:hint="eastAsia" w:ascii="仿宋_GB2312" w:hAnsi="仿宋_GB2312" w:eastAsia="仿宋_GB2312" w:cs="仿宋_GB2312"/>
          <w:sz w:val="32"/>
          <w:szCs w:val="32"/>
        </w:rPr>
        <w:t>每年至少对化工和危险化学品企业主要负责人集中开展一次法律意识、风险意识和事故教训</w:t>
      </w:r>
      <w:r>
        <w:rPr>
          <w:rFonts w:hint="eastAsia" w:ascii="仿宋_GB2312" w:hAnsi="仿宋_GB2312" w:eastAsia="仿宋_GB2312" w:cs="仿宋_GB2312"/>
          <w:sz w:val="32"/>
          <w:szCs w:val="32"/>
          <w:lang w:eastAsia="zh-CN"/>
        </w:rPr>
        <w:t>等方面</w:t>
      </w:r>
      <w:r>
        <w:rPr>
          <w:rFonts w:hint="eastAsia" w:ascii="仿宋_GB2312" w:hAnsi="仿宋_GB2312" w:eastAsia="仿宋_GB2312" w:cs="仿宋_GB2312"/>
          <w:sz w:val="32"/>
          <w:szCs w:val="32"/>
        </w:rPr>
        <w:t>的警示教育</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,按照化工(危险化学品)企业主要负责人安全生产管理知识重点考核内容,对危险化学品企业主要负责人每年至少开展</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次考核,考核和补考均不合格的,不得担任企业主要负责人。危险化学品企业</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按照高危行业领域安全技能提升行动计划实施意见,开展在岗员工安全技能提升培训,培训考核不合格的不得上岗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底前从业人员中取得职业资格证书或职业技能等级证书的比例要达到30%以上;严格从事危险化学品特种作业岗位人员的学历要求和技能考核,考试合格后持证上岗。</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2.提高从业人员准入门槛，实施精细资格管理。</w:t>
      </w:r>
      <w:r>
        <w:rPr>
          <w:rFonts w:hint="eastAsia" w:ascii="仿宋_GB2312" w:hAnsi="仿宋_GB2312" w:eastAsia="仿宋_GB2312" w:cs="仿宋_GB2312"/>
          <w:sz w:val="32"/>
          <w:szCs w:val="32"/>
          <w:lang w:val="en-US" w:eastAsia="zh-CN"/>
        </w:rPr>
        <w:t>对涉及危险化学品生产企业主要负责人、分管安全生产负责人、专职安全管理人员和从业人员任职资格进行摸底建档。</w:t>
      </w:r>
      <w:r>
        <w:rPr>
          <w:rFonts w:hint="eastAsia" w:ascii="仿宋_GB2312" w:hAnsi="仿宋_GB2312" w:eastAsia="仿宋_GB2312" w:cs="仿宋_GB2312"/>
          <w:sz w:val="32"/>
          <w:szCs w:val="32"/>
        </w:rPr>
        <w:t>自2020年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月起,对涉及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不符合上述要求的现有人员应在2022年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底前达到相应水平。危险化学品企业要按规定配备化工相关专业注册安全工程师。</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提高企业安全管理，</w:t>
      </w:r>
      <w:r>
        <w:rPr>
          <w:rFonts w:hint="eastAsia" w:ascii="楷体_GB2312" w:hAnsi="楷体_GB2312" w:eastAsia="楷体_GB2312" w:cs="楷体_GB2312"/>
          <w:b/>
          <w:bCs/>
          <w:sz w:val="32"/>
          <w:szCs w:val="32"/>
        </w:rPr>
        <w:t>推动落实主体责任。</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1.严格精准监管执法。</w:t>
      </w:r>
      <w:r>
        <w:rPr>
          <w:rFonts w:hint="eastAsia" w:ascii="仿宋_GB2312" w:hAnsi="仿宋_GB2312" w:eastAsia="仿宋_GB2312" w:cs="仿宋_GB2312"/>
          <w:sz w:val="32"/>
          <w:szCs w:val="32"/>
        </w:rPr>
        <w:t>制定并公布危险化学品企业执法计划，进一步加大对重大隐患和安全生产违法行为的执法力度。强化事故责任追究,经事故调查明确应对事故负有责任的企业主要负责人、实际控制人和有关责任人员,及时移交司法机关依法追责。危险化学品企业主要负责人必须建立企业安全技术和管理团队,必须做出安全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并定期报告安全生产履职及企业安全风险管控情况,不按规定作出安全承诺和定期</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报告安全风险管控情况</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,要依法依规对有关企业及其主要负责人实施联合惩戒,对因未履行安全生产职责受到刑事处罚或撤职处分的,依法对其实施职业禁入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对发生事故的危险化学品企业,严格执行督扣或吊销安全许可证的有关规定。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2.全面推进安全生产标准化建设。</w:t>
      </w:r>
      <w:r>
        <w:rPr>
          <w:rFonts w:hint="eastAsia" w:ascii="仿宋_GB2312" w:hAnsi="仿宋_GB2312" w:eastAsia="仿宋_GB2312" w:cs="仿宋_GB2312"/>
          <w:sz w:val="32"/>
          <w:szCs w:val="32"/>
        </w:rPr>
        <w:t>对二级标准化</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rPr>
        <w:t>企业在同等条件下优先考虑减少执法检查频次。有机结合安全生产标准化建设内容和日常执法检查重点内容,持续改进企业安全管理。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3.集中开展危险化学品领域专项整治。</w:t>
      </w:r>
      <w:r>
        <w:rPr>
          <w:rFonts w:hint="eastAsia" w:ascii="仿宋_GB2312" w:hAnsi="仿宋_GB2312" w:eastAsia="仿宋_GB2312" w:cs="仿宋_GB2312"/>
          <w:sz w:val="32"/>
          <w:szCs w:val="32"/>
          <w:lang w:val="en-US" w:eastAsia="zh-CN"/>
        </w:rPr>
        <w:t>定期不定期借助专家力量对园区危险化学品企业进行“全覆盖”检查，落实企业安全生产主体责任。</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整顿</w:t>
      </w:r>
      <w:r>
        <w:rPr>
          <w:rFonts w:hint="eastAsia" w:ascii="仿宋_GB2312" w:hAnsi="仿宋_GB2312" w:eastAsia="仿宋_GB2312" w:cs="仿宋_GB2312"/>
          <w:sz w:val="32"/>
          <w:szCs w:val="32"/>
        </w:rPr>
        <w:t>违规违章</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落实危险作业许可制度，</w:t>
      </w:r>
      <w:r>
        <w:rPr>
          <w:rFonts w:hint="eastAsia" w:ascii="仿宋_GB2312" w:hAnsi="仿宋_GB2312" w:eastAsia="仿宋_GB2312" w:cs="仿宋_GB2312"/>
          <w:sz w:val="32"/>
          <w:szCs w:val="32"/>
        </w:rPr>
        <w:t>特别是强化对动火、进入受限空间等特殊作业的</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检查;对发生过事故或存在重大隐患的企业,加大检查频次,对同类问题反复出现的依法从重处罚,达不到安全生产条件的依法</w:t>
      </w:r>
      <w:r>
        <w:rPr>
          <w:rFonts w:hint="eastAsia" w:ascii="仿宋_GB2312" w:hAnsi="仿宋_GB2312" w:eastAsia="仿宋_GB2312" w:cs="仿宋_GB2312"/>
          <w:sz w:val="32"/>
          <w:szCs w:val="32"/>
          <w:lang w:val="en-US" w:eastAsia="zh-CN"/>
        </w:rPr>
        <w:t>提请上级业务部门</w:t>
      </w:r>
      <w:r>
        <w:rPr>
          <w:rFonts w:hint="eastAsia" w:ascii="仿宋_GB2312" w:hAnsi="仿宋_GB2312" w:eastAsia="仿宋_GB2312" w:cs="仿宋_GB2312"/>
          <w:sz w:val="32"/>
          <w:szCs w:val="32"/>
          <w:lang w:eastAsia="zh-CN"/>
        </w:rPr>
        <w:t>暂</w:t>
      </w:r>
      <w:r>
        <w:rPr>
          <w:rFonts w:hint="eastAsia" w:ascii="仿宋_GB2312" w:hAnsi="仿宋_GB2312" w:eastAsia="仿宋_GB2312" w:cs="仿宋_GB2312"/>
          <w:sz w:val="32"/>
          <w:szCs w:val="32"/>
        </w:rPr>
        <w:t>扣或吊销安全生产许可证。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强化安全监管能力建设。</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1.加强在职专业教育培训，提升危险化学品安全监管队伍能力水平。</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危险化学品企业数量、规模等情况,</w:t>
      </w:r>
      <w:r>
        <w:rPr>
          <w:rFonts w:hint="eastAsia" w:ascii="仿宋_GB2312" w:hAnsi="仿宋_GB2312" w:eastAsia="仿宋_GB2312" w:cs="仿宋_GB2312"/>
          <w:sz w:val="32"/>
          <w:szCs w:val="32"/>
          <w:lang w:val="en-US" w:eastAsia="zh-CN"/>
        </w:rPr>
        <w:t>申请园区党委、管委会</w:t>
      </w:r>
      <w:r>
        <w:rPr>
          <w:rFonts w:hint="eastAsia" w:ascii="仿宋_GB2312" w:hAnsi="仿宋_GB2312" w:eastAsia="仿宋_GB2312" w:cs="仿宋_GB2312"/>
          <w:sz w:val="32"/>
          <w:szCs w:val="32"/>
        </w:rPr>
        <w:t>配齐配强满足实际需要的危险化学品安全监管和执法力量,制定完善危险化学品安全监管人员培训制度,新入职人员培训时间不少于3个月，在职人员每年复训时间不少于2周。鼓励危险化学品安全监管和执法人员到大型化工和危险化学品企业进行岗位实训。</w:t>
      </w:r>
      <w:r>
        <w:rPr>
          <w:rFonts w:hint="eastAsia" w:ascii="仿宋_GB2312" w:hAnsi="仿宋_GB2312" w:eastAsia="仿宋_GB2312" w:cs="仿宋_GB2312"/>
          <w:sz w:val="32"/>
          <w:szCs w:val="32"/>
          <w:lang w:val="en-US" w:eastAsia="zh-CN"/>
        </w:rPr>
        <w:t>鼓励危险化学品监管人员优先选择与应急管理、安全生产紧密相关专业在职学历学位教育，取得高一级学历。依托甘肃干部网络培训学院应急管理平台，加强业务人员培训，</w:t>
      </w:r>
      <w:r>
        <w:rPr>
          <w:rFonts w:hint="eastAsia" w:ascii="仿宋_GB2312" w:hAnsi="仿宋_GB2312" w:eastAsia="仿宋_GB2312" w:cs="仿宋_GB2312"/>
          <w:sz w:val="32"/>
          <w:szCs w:val="32"/>
        </w:rPr>
        <w:t>提高危险化学品安全监管水平。</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2.积极探索创新安全监管模式，引导社会化技术服务安全生产。</w:t>
      </w:r>
      <w:r>
        <w:rPr>
          <w:rFonts w:hint="eastAsia" w:ascii="仿宋_GB2312" w:hAnsi="仿宋_GB2312" w:eastAsia="仿宋_GB2312" w:cs="仿宋_GB2312"/>
          <w:sz w:val="32"/>
          <w:szCs w:val="32"/>
          <w:lang w:val="en-US" w:eastAsia="zh-CN"/>
        </w:rPr>
        <w:t>积极储备</w:t>
      </w:r>
      <w:r>
        <w:rPr>
          <w:rFonts w:hint="eastAsia" w:ascii="仿宋_GB2312" w:hAnsi="仿宋_GB2312" w:eastAsia="仿宋_GB2312" w:cs="仿宋_GB2312"/>
          <w:sz w:val="32"/>
          <w:szCs w:val="32"/>
        </w:rPr>
        <w:t>培育一批有能力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信誉好的行业协会、技木机构、科研院所等社会力量参与安全生产治理,为</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监管和企业安全管理提供技术服务,提升危险化学品安全生产社会治理水平。</w:t>
      </w:r>
      <w:r>
        <w:rPr>
          <w:rFonts w:hint="eastAsia" w:ascii="仿宋_GB2312" w:hAnsi="仿宋_GB2312" w:eastAsia="仿宋_GB2312" w:cs="仿宋_GB2312"/>
          <w:sz w:val="32"/>
          <w:szCs w:val="32"/>
          <w:lang w:val="en-US" w:eastAsia="zh-CN"/>
        </w:rPr>
        <w:t>全面深化推进危险化学品企业安全咨询专家组工作，并结合实际建立园区危险化学品专家库，积极应用专家指导服务成果，快速带动提升危险化学品安全监管专业化能力与安全监管水平。鼓励企业通过购买安全技术服务、聘请安全生产专家和专业技术人才等社会力量参与企业安全生产，提高安全生产管理水平。</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3.加快安全生产信息化建设，充分发挥信息化助力安全监管作用。</w:t>
      </w:r>
      <w:r>
        <w:rPr>
          <w:rFonts w:hint="eastAsia" w:ascii="仿宋_GB2312" w:hAnsi="仿宋_GB2312" w:eastAsia="仿宋_GB2312" w:cs="仿宋_GB2312"/>
          <w:sz w:val="32"/>
          <w:szCs w:val="32"/>
          <w:lang w:val="en-US" w:eastAsia="zh-CN"/>
        </w:rPr>
        <w:t>2020年年底前，完成辖区四级重大危险源企业安全生产风险监测预警系统建设并接入省应急管理综合平台，依托省应急管理综合应用数据共享交换平台开展危险化学品安全监管信息共享，建立完善安全风险监测预警系统自动预警机制和管理机制，初步实现安全风险分类、分析、自动预警功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三、时间安排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月至2022年12月,分四个阶段进行。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（一）安排</w:t>
      </w:r>
      <w:r>
        <w:rPr>
          <w:rFonts w:hint="eastAsia" w:ascii="楷体_GB2312" w:hAnsi="楷体_GB2312" w:eastAsia="楷体_GB2312" w:cs="楷体_GB2312"/>
          <w:b/>
          <w:bCs/>
          <w:sz w:val="32"/>
          <w:szCs w:val="32"/>
        </w:rPr>
        <w:t>动员部署</w:t>
      </w:r>
      <w:r>
        <w:rPr>
          <w:rFonts w:hint="eastAsia" w:ascii="楷体_GB2312" w:hAnsi="楷体_GB2312" w:eastAsia="楷体_GB2312" w:cs="楷体_GB2312"/>
          <w:b/>
          <w:bCs/>
          <w:sz w:val="32"/>
          <w:szCs w:val="32"/>
          <w:lang w:val="en-US" w:eastAsia="zh-CN"/>
        </w:rPr>
        <w:t>阶段</w:t>
      </w:r>
      <w:r>
        <w:rPr>
          <w:rFonts w:hint="eastAsia" w:ascii="楷体_GB2312" w:hAnsi="楷体_GB2312" w:eastAsia="楷体_GB2312" w:cs="楷体_GB2312"/>
          <w:b/>
          <w:bCs/>
          <w:sz w:val="32"/>
          <w:szCs w:val="32"/>
        </w:rPr>
        <w:t>(2020年</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lang w:val="en-US" w:eastAsia="zh-CN"/>
        </w:rPr>
        <w:t>园区管辖范围内的危化企业</w:t>
      </w:r>
      <w:r>
        <w:rPr>
          <w:rFonts w:hint="eastAsia" w:ascii="仿宋_GB2312" w:hAnsi="仿宋_GB2312" w:eastAsia="仿宋_GB2312" w:cs="仿宋_GB2312"/>
          <w:sz w:val="32"/>
          <w:szCs w:val="32"/>
        </w:rPr>
        <w:t>要根据本方案要求,结合实际制定</w:t>
      </w:r>
      <w:r>
        <w:rPr>
          <w:rFonts w:hint="eastAsia" w:ascii="仿宋_GB2312" w:hAnsi="仿宋_GB2312" w:eastAsia="仿宋_GB2312" w:cs="仿宋_GB2312"/>
          <w:sz w:val="32"/>
          <w:szCs w:val="32"/>
          <w:lang w:val="en-US" w:eastAsia="zh-CN"/>
        </w:rPr>
        <w:t>本企业专项整治方案，</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val="en-US" w:eastAsia="zh-CN"/>
        </w:rPr>
        <w:t>隐患排查措施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目标任务、制定考核办法,并进行广泛宣传发动,对专项整治工作全面动员部署。</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（二）隐患</w:t>
      </w:r>
      <w:r>
        <w:rPr>
          <w:rFonts w:hint="eastAsia" w:ascii="楷体_GB2312" w:hAnsi="楷体_GB2312" w:eastAsia="楷体_GB2312" w:cs="楷体_GB2312"/>
          <w:b/>
          <w:bCs/>
          <w:sz w:val="32"/>
          <w:szCs w:val="32"/>
        </w:rPr>
        <w:t>排查整治</w:t>
      </w:r>
      <w:r>
        <w:rPr>
          <w:rFonts w:hint="eastAsia" w:ascii="楷体_GB2312" w:hAnsi="楷体_GB2312" w:eastAsia="楷体_GB2312" w:cs="楷体_GB2312"/>
          <w:b/>
          <w:bCs/>
          <w:sz w:val="32"/>
          <w:szCs w:val="32"/>
          <w:lang w:val="en-US" w:eastAsia="zh-CN"/>
        </w:rPr>
        <w:t>阶段</w:t>
      </w:r>
      <w:r>
        <w:rPr>
          <w:rFonts w:hint="eastAsia" w:ascii="楷体_GB2312" w:hAnsi="楷体_GB2312" w:eastAsia="楷体_GB2312" w:cs="楷体_GB2312"/>
          <w:b/>
          <w:bCs/>
          <w:sz w:val="32"/>
          <w:szCs w:val="32"/>
        </w:rPr>
        <w:t>(2020年</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月至12月)。</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省、新区出台的专项整治</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,全面排查</w:t>
      </w:r>
      <w:r>
        <w:rPr>
          <w:rFonts w:hint="eastAsia" w:ascii="仿宋_GB2312" w:hAnsi="仿宋_GB2312" w:eastAsia="仿宋_GB2312" w:cs="仿宋_GB2312"/>
          <w:sz w:val="32"/>
          <w:szCs w:val="32"/>
          <w:lang w:val="en-US" w:eastAsia="zh-CN"/>
        </w:rPr>
        <w:t>各企业</w:t>
      </w:r>
      <w:r>
        <w:rPr>
          <w:rFonts w:hint="eastAsia" w:ascii="仿宋_GB2312" w:hAnsi="仿宋_GB2312" w:eastAsia="仿宋_GB2312" w:cs="仿宋_GB2312"/>
          <w:sz w:val="32"/>
          <w:szCs w:val="32"/>
        </w:rPr>
        <w:t>安全风险隐患,建立</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题隐患</w:t>
      </w:r>
      <w:r>
        <w:rPr>
          <w:rFonts w:hint="eastAsia" w:ascii="仿宋_GB2312" w:hAnsi="仿宋_GB2312" w:eastAsia="仿宋_GB2312" w:cs="仿宋_GB2312"/>
          <w:sz w:val="32"/>
          <w:szCs w:val="32"/>
          <w:lang w:val="en-US" w:eastAsia="zh-CN"/>
        </w:rPr>
        <w:t>治理台账，制定整改</w:t>
      </w:r>
      <w:r>
        <w:rPr>
          <w:rFonts w:hint="eastAsia" w:ascii="仿宋_GB2312" w:hAnsi="仿宋_GB2312" w:eastAsia="仿宋_GB2312" w:cs="仿宋_GB2312"/>
          <w:sz w:val="32"/>
          <w:szCs w:val="32"/>
        </w:rPr>
        <w:t>措施“两个清单”,</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时间表、路线图,坚持边查边改,加快推进实施，确保专项整治行动</w:t>
      </w:r>
      <w:r>
        <w:rPr>
          <w:rFonts w:hint="eastAsia" w:ascii="仿宋_GB2312" w:hAnsi="仿宋_GB2312" w:eastAsia="仿宋_GB2312" w:cs="仿宋_GB2312"/>
          <w:sz w:val="32"/>
          <w:szCs w:val="32"/>
          <w:lang w:val="en-US" w:eastAsia="zh-CN"/>
        </w:rPr>
        <w:t>落地见效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（三）难点</w:t>
      </w:r>
      <w:r>
        <w:rPr>
          <w:rFonts w:hint="eastAsia" w:ascii="楷体_GB2312" w:hAnsi="楷体_GB2312" w:eastAsia="楷体_GB2312" w:cs="楷体_GB2312"/>
          <w:b/>
          <w:bCs/>
          <w:sz w:val="32"/>
          <w:szCs w:val="32"/>
        </w:rPr>
        <w:t>集中攻坚</w:t>
      </w:r>
      <w:r>
        <w:rPr>
          <w:rFonts w:hint="eastAsia" w:ascii="楷体_GB2312" w:hAnsi="楷体_GB2312" w:eastAsia="楷体_GB2312" w:cs="楷体_GB2312"/>
          <w:b/>
          <w:bCs/>
          <w:sz w:val="32"/>
          <w:szCs w:val="32"/>
          <w:lang w:val="en-US" w:eastAsia="zh-CN"/>
        </w:rPr>
        <w:t>阶段</w:t>
      </w:r>
      <w:r>
        <w:rPr>
          <w:rFonts w:hint="eastAsia" w:ascii="楷体_GB2312" w:hAnsi="楷体_GB2312" w:eastAsia="楷体_GB2312" w:cs="楷体_GB2312"/>
          <w:b/>
          <w:bCs/>
          <w:sz w:val="32"/>
          <w:szCs w:val="32"/>
        </w:rPr>
        <w:t>(2021年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月至12月)。</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val="en-US" w:eastAsia="zh-CN"/>
        </w:rPr>
        <w:t>排查出的</w:t>
      </w:r>
      <w:r>
        <w:rPr>
          <w:rFonts w:hint="eastAsia" w:ascii="仿宋_GB2312" w:hAnsi="仿宋_GB2312" w:eastAsia="仿宋_GB2312" w:cs="仿宋_GB2312"/>
          <w:sz w:val="32"/>
          <w:szCs w:val="32"/>
        </w:rPr>
        <w:t>重点难点问题,通过</w:t>
      </w:r>
      <w:r>
        <w:rPr>
          <w:rFonts w:hint="eastAsia" w:ascii="仿宋_GB2312" w:hAnsi="仿宋_GB2312" w:eastAsia="仿宋_GB2312" w:cs="仿宋_GB2312"/>
          <w:sz w:val="32"/>
          <w:szCs w:val="32"/>
          <w:lang w:val="en-US" w:eastAsia="zh-CN"/>
        </w:rPr>
        <w:t>专家“会诊”</w:t>
      </w:r>
      <w:r>
        <w:rPr>
          <w:rFonts w:hint="eastAsia" w:ascii="仿宋_GB2312" w:hAnsi="仿宋_GB2312" w:eastAsia="仿宋_GB2312" w:cs="仿宋_GB2312"/>
          <w:sz w:val="32"/>
          <w:szCs w:val="32"/>
        </w:rPr>
        <w:t>、专项攻坚等措施,</w:t>
      </w:r>
      <w:r>
        <w:rPr>
          <w:rFonts w:hint="eastAsia" w:ascii="仿宋_GB2312" w:hAnsi="仿宋_GB2312" w:eastAsia="仿宋_GB2312" w:cs="仿宋_GB2312"/>
          <w:sz w:val="32"/>
          <w:szCs w:val="32"/>
          <w:lang w:val="en-US" w:eastAsia="zh-CN"/>
        </w:rPr>
        <w:t>制定隐患整改方案，整改方案经专家评审后组织实施，同时对各类隐患</w:t>
      </w:r>
      <w:r>
        <w:rPr>
          <w:rFonts w:hint="eastAsia" w:ascii="仿宋_GB2312" w:hAnsi="仿宋_GB2312" w:eastAsia="仿宋_GB2312" w:cs="仿宋_GB2312"/>
          <w:sz w:val="32"/>
          <w:szCs w:val="32"/>
        </w:rPr>
        <w:t>按照“双重交办、双重督办”的要求，</w:t>
      </w:r>
      <w:r>
        <w:rPr>
          <w:rFonts w:hint="eastAsia" w:ascii="仿宋_GB2312" w:hAnsi="仿宋_GB2312" w:eastAsia="仿宋_GB2312" w:cs="仿宋_GB2312"/>
          <w:sz w:val="32"/>
          <w:szCs w:val="32"/>
          <w:lang w:val="en-US" w:eastAsia="zh-CN"/>
        </w:rPr>
        <w:t>督促企业认真做好整改。</w:t>
      </w:r>
      <w:r>
        <w:rPr>
          <w:rFonts w:hint="eastAsia" w:ascii="仿宋_GB2312" w:hAnsi="仿宋_GB2312" w:eastAsia="仿宋_GB2312" w:cs="仿宋_GB2312"/>
          <w:sz w:val="32"/>
          <w:szCs w:val="32"/>
        </w:rPr>
        <w:t>对于问题严重且经整改后仍不符合安全要求的企业，要坚决依法予以关闭退出,推动危险化学品安全风险管控能力得到明显提升。</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（四）成果</w:t>
      </w:r>
      <w:r>
        <w:rPr>
          <w:rFonts w:hint="eastAsia" w:ascii="楷体_GB2312" w:hAnsi="楷体_GB2312" w:eastAsia="楷体_GB2312" w:cs="楷体_GB2312"/>
          <w:b/>
          <w:bCs/>
          <w:sz w:val="32"/>
          <w:szCs w:val="32"/>
        </w:rPr>
        <w:t>巩固提升</w:t>
      </w:r>
      <w:r>
        <w:rPr>
          <w:rFonts w:hint="eastAsia" w:ascii="楷体_GB2312" w:hAnsi="楷体_GB2312" w:eastAsia="楷体_GB2312" w:cs="楷体_GB2312"/>
          <w:b/>
          <w:bCs/>
          <w:sz w:val="32"/>
          <w:szCs w:val="32"/>
          <w:lang w:val="en-US" w:eastAsia="zh-CN"/>
        </w:rPr>
        <w:t>阶段</w:t>
      </w:r>
      <w:r>
        <w:rPr>
          <w:rFonts w:hint="eastAsia" w:ascii="楷体_GB2312" w:hAnsi="楷体_GB2312" w:eastAsia="楷体_GB2312" w:cs="楷体_GB2312"/>
          <w:b/>
          <w:bCs/>
          <w:sz w:val="32"/>
          <w:szCs w:val="32"/>
        </w:rPr>
        <w:t>(2022年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月至12月)。</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总结分析</w:t>
      </w:r>
      <w:r>
        <w:rPr>
          <w:rFonts w:hint="eastAsia" w:ascii="仿宋_GB2312" w:hAnsi="仿宋_GB2312" w:eastAsia="仿宋_GB2312" w:cs="仿宋_GB2312"/>
          <w:sz w:val="32"/>
          <w:szCs w:val="32"/>
          <w:lang w:val="en-US" w:eastAsia="zh-CN"/>
        </w:rPr>
        <w:t>危险化学品</w:t>
      </w:r>
      <w:r>
        <w:rPr>
          <w:rFonts w:hint="eastAsia" w:ascii="仿宋_GB2312" w:hAnsi="仿宋_GB2312" w:eastAsia="仿宋_GB2312" w:cs="仿宋_GB2312"/>
          <w:sz w:val="32"/>
          <w:szCs w:val="32"/>
        </w:rPr>
        <w:t>专项整治行动</w:t>
      </w:r>
      <w:r>
        <w:rPr>
          <w:rFonts w:hint="eastAsia" w:ascii="仿宋_GB2312" w:hAnsi="仿宋_GB2312" w:eastAsia="仿宋_GB2312" w:cs="仿宋_GB2312"/>
          <w:sz w:val="32"/>
          <w:szCs w:val="32"/>
          <w:lang w:eastAsia="zh-CN"/>
        </w:rPr>
        <w:t>进展</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及时发现并解决工作中的问题和不足，</w:t>
      </w:r>
      <w:r>
        <w:rPr>
          <w:rFonts w:hint="eastAsia" w:ascii="仿宋_GB2312" w:hAnsi="仿宋_GB2312" w:eastAsia="仿宋_GB2312" w:cs="仿宋_GB2312"/>
          <w:sz w:val="32"/>
          <w:szCs w:val="32"/>
          <w:lang w:eastAsia="zh-CN"/>
        </w:rPr>
        <w:t>复制</w:t>
      </w:r>
      <w:r>
        <w:rPr>
          <w:rFonts w:hint="eastAsia" w:ascii="仿宋_GB2312" w:hAnsi="仿宋_GB2312" w:eastAsia="仿宋_GB2312" w:cs="仿宋_GB2312"/>
          <w:sz w:val="32"/>
          <w:szCs w:val="32"/>
        </w:rPr>
        <w:t>推广危险化学品安全整治</w:t>
      </w:r>
      <w:r>
        <w:rPr>
          <w:rFonts w:hint="eastAsia" w:ascii="仿宋_GB2312" w:hAnsi="仿宋_GB2312" w:eastAsia="仿宋_GB2312" w:cs="仿宋_GB2312"/>
          <w:sz w:val="32"/>
          <w:szCs w:val="32"/>
          <w:lang w:eastAsia="zh-CN"/>
        </w:rPr>
        <w:t>过程中积累的成功</w:t>
      </w:r>
      <w:r>
        <w:rPr>
          <w:rFonts w:hint="eastAsia" w:ascii="仿宋_GB2312" w:hAnsi="仿宋_GB2312" w:eastAsia="仿宋_GB2312" w:cs="仿宋_GB2312"/>
          <w:sz w:val="32"/>
          <w:szCs w:val="32"/>
        </w:rPr>
        <w:t>经验</w:t>
      </w:r>
      <w:r>
        <w:rPr>
          <w:rFonts w:hint="eastAsia" w:ascii="仿宋_GB2312" w:hAnsi="仿宋_GB2312" w:eastAsia="仿宋_GB2312" w:cs="仿宋_GB2312"/>
          <w:sz w:val="32"/>
          <w:szCs w:val="32"/>
          <w:lang w:eastAsia="zh-CN"/>
        </w:rPr>
        <w:t>和有效</w:t>
      </w:r>
      <w:r>
        <w:rPr>
          <w:rFonts w:hint="eastAsia" w:ascii="仿宋_GB2312" w:hAnsi="仿宋_GB2312" w:eastAsia="仿宋_GB2312" w:cs="仿宋_GB2312"/>
          <w:sz w:val="32"/>
          <w:szCs w:val="32"/>
        </w:rPr>
        <w:t>做法,并</w:t>
      </w:r>
      <w:r>
        <w:rPr>
          <w:rFonts w:hint="eastAsia" w:ascii="仿宋_GB2312" w:hAnsi="仿宋_GB2312" w:eastAsia="仿宋_GB2312" w:cs="仿宋_GB2312"/>
          <w:sz w:val="32"/>
          <w:szCs w:val="32"/>
          <w:lang w:eastAsia="zh-CN"/>
        </w:rPr>
        <w:t>争取形成</w:t>
      </w:r>
      <w:r>
        <w:rPr>
          <w:rFonts w:hint="eastAsia" w:ascii="仿宋_GB2312" w:hAnsi="仿宋_GB2312" w:eastAsia="仿宋_GB2312" w:cs="仿宋_GB2312"/>
          <w:sz w:val="32"/>
          <w:szCs w:val="32"/>
        </w:rPr>
        <w:t>制度性成果。</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四、</w:t>
      </w:r>
      <w:r>
        <w:rPr>
          <w:rFonts w:hint="eastAsia" w:ascii="黑体" w:hAnsi="黑体" w:eastAsia="黑体" w:cs="黑体"/>
          <w:sz w:val="32"/>
          <w:szCs w:val="32"/>
          <w:lang w:val="en-US" w:eastAsia="zh-CN"/>
        </w:rPr>
        <w:t>组织</w:t>
      </w:r>
      <w:r>
        <w:rPr>
          <w:rFonts w:hint="eastAsia" w:ascii="黑体" w:hAnsi="黑体" w:eastAsia="黑体" w:cs="黑体"/>
          <w:sz w:val="32"/>
          <w:szCs w:val="32"/>
        </w:rPr>
        <w:t>保障</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加强组织领导</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周密部署安排</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val="en-US" w:eastAsia="zh-CN"/>
        </w:rPr>
        <w:t>园区所辖各危险化学品企业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认真贯彻落实《中共中央办公厅国务院办公厅关于全面加强危险化学品安全生产工作的意见》,</w:t>
      </w:r>
      <w:r>
        <w:rPr>
          <w:rFonts w:hint="eastAsia" w:ascii="仿宋_GB2312" w:hAnsi="仿宋_GB2312" w:eastAsia="仿宋_GB2312" w:cs="仿宋_GB2312"/>
          <w:sz w:val="32"/>
          <w:szCs w:val="32"/>
          <w:lang w:val="en-US" w:eastAsia="zh-CN"/>
        </w:rPr>
        <w:t>深刻认识做好专项整治三年行动的重要性，强化领导责任，勇于担当作为，</w:t>
      </w:r>
      <w:r>
        <w:rPr>
          <w:rFonts w:hint="eastAsia" w:ascii="仿宋_GB2312" w:hAnsi="仿宋_GB2312" w:eastAsia="仿宋_GB2312" w:cs="仿宋_GB2312"/>
          <w:sz w:val="32"/>
          <w:szCs w:val="32"/>
        </w:rPr>
        <w:t>建立由</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分管领导牵头的危险化学品安全整治专项工作机制,加强专项整治行动中的重大问题协调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本企业</w:t>
      </w:r>
      <w:r>
        <w:rPr>
          <w:rFonts w:hint="eastAsia" w:ascii="仿宋_GB2312" w:hAnsi="仿宋_GB2312" w:eastAsia="仿宋_GB2312" w:cs="仿宋_GB2312"/>
          <w:sz w:val="32"/>
          <w:szCs w:val="32"/>
        </w:rPr>
        <w:t>危险化学品安全专项整治工作。</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强化</w:t>
      </w:r>
      <w:r>
        <w:rPr>
          <w:rFonts w:hint="eastAsia" w:ascii="楷体_GB2312" w:hAnsi="楷体_GB2312" w:eastAsia="楷体_GB2312" w:cs="楷体_GB2312"/>
          <w:b/>
          <w:bCs/>
          <w:sz w:val="32"/>
          <w:szCs w:val="32"/>
          <w:lang w:val="en-US" w:eastAsia="zh-CN"/>
        </w:rPr>
        <w:t>保障能力，完善</w:t>
      </w:r>
      <w:r>
        <w:rPr>
          <w:rFonts w:hint="eastAsia" w:ascii="楷体_GB2312" w:hAnsi="楷体_GB2312" w:eastAsia="楷体_GB2312" w:cs="楷体_GB2312"/>
          <w:b/>
          <w:bCs/>
          <w:sz w:val="32"/>
          <w:szCs w:val="32"/>
        </w:rPr>
        <w:t>政策支持。</w:t>
      </w:r>
      <w:r>
        <w:rPr>
          <w:rFonts w:hint="eastAsia" w:ascii="仿宋_GB2312" w:hAnsi="仿宋_GB2312" w:eastAsia="仿宋_GB2312" w:cs="仿宋_GB2312"/>
          <w:sz w:val="32"/>
          <w:szCs w:val="32"/>
          <w:lang w:eastAsia="zh-CN"/>
        </w:rPr>
        <w:t>园区有关行业部门</w:t>
      </w:r>
      <w:r>
        <w:rPr>
          <w:rFonts w:hint="eastAsia" w:ascii="仿宋_GB2312" w:hAnsi="仿宋_GB2312" w:eastAsia="仿宋_GB2312" w:cs="仿宋_GB2312"/>
          <w:sz w:val="32"/>
          <w:szCs w:val="32"/>
          <w:lang w:val="en-US" w:eastAsia="zh-CN"/>
        </w:rPr>
        <w:t>要结合危化行业实际</w:t>
      </w:r>
      <w:r>
        <w:rPr>
          <w:rFonts w:hint="eastAsia" w:ascii="仿宋_GB2312" w:hAnsi="仿宋_GB2312" w:eastAsia="仿宋_GB2312" w:cs="仿宋_GB2312"/>
          <w:sz w:val="32"/>
          <w:szCs w:val="32"/>
        </w:rPr>
        <w:t>特点,突出重点目标任务,</w:t>
      </w:r>
      <w:r>
        <w:rPr>
          <w:rFonts w:hint="eastAsia" w:ascii="仿宋_GB2312" w:hAnsi="仿宋_GB2312" w:eastAsia="仿宋_GB2312" w:cs="仿宋_GB2312"/>
          <w:sz w:val="32"/>
          <w:szCs w:val="32"/>
          <w:lang w:val="en-US" w:eastAsia="zh-CN"/>
        </w:rPr>
        <w:t>完善支持安全生产工作政策体系，</w:t>
      </w:r>
      <w:r>
        <w:rPr>
          <w:rFonts w:hint="eastAsia" w:ascii="仿宋_GB2312" w:hAnsi="仿宋_GB2312" w:eastAsia="仿宋_GB2312" w:cs="仿宋_GB2312"/>
          <w:sz w:val="32"/>
          <w:szCs w:val="32"/>
        </w:rPr>
        <w:t>从项目准入、财税、信贷、技术服务等方面</w:t>
      </w:r>
      <w:r>
        <w:rPr>
          <w:rFonts w:hint="eastAsia" w:ascii="仿宋_GB2312" w:hAnsi="仿宋_GB2312" w:eastAsia="仿宋_GB2312" w:cs="仿宋_GB2312"/>
          <w:sz w:val="32"/>
          <w:szCs w:val="32"/>
          <w:lang w:val="en-US" w:eastAsia="zh-CN"/>
        </w:rPr>
        <w:t>积极争取</w:t>
      </w:r>
      <w:r>
        <w:rPr>
          <w:rFonts w:hint="eastAsia" w:ascii="仿宋_GB2312" w:hAnsi="仿宋_GB2312" w:eastAsia="仿宋_GB2312" w:cs="仿宋_GB2312"/>
          <w:sz w:val="32"/>
          <w:szCs w:val="32"/>
        </w:rPr>
        <w:t>支持力度,</w:t>
      </w:r>
      <w:r>
        <w:rPr>
          <w:rFonts w:hint="eastAsia" w:ascii="仿宋_GB2312" w:hAnsi="仿宋_GB2312" w:eastAsia="仿宋_GB2312" w:cs="仿宋_GB2312"/>
          <w:sz w:val="32"/>
          <w:szCs w:val="32"/>
          <w:lang w:val="en-US" w:eastAsia="zh-CN"/>
        </w:rPr>
        <w:t>为辖区内</w:t>
      </w:r>
      <w:r>
        <w:rPr>
          <w:rFonts w:hint="eastAsia" w:ascii="仿宋_GB2312" w:hAnsi="仿宋_GB2312" w:eastAsia="仿宋_GB2312" w:cs="仿宋_GB2312"/>
          <w:sz w:val="32"/>
          <w:szCs w:val="32"/>
        </w:rPr>
        <w:t>危险化学品企业</w:t>
      </w:r>
      <w:r>
        <w:rPr>
          <w:rFonts w:hint="eastAsia" w:ascii="仿宋_GB2312" w:hAnsi="仿宋_GB2312" w:eastAsia="仿宋_GB2312" w:cs="仿宋_GB2312"/>
          <w:sz w:val="32"/>
          <w:szCs w:val="32"/>
          <w:lang w:val="en-US" w:eastAsia="zh-CN"/>
        </w:rPr>
        <w:t>有序</w:t>
      </w:r>
      <w:r>
        <w:rPr>
          <w:rFonts w:hint="eastAsia" w:ascii="仿宋_GB2312" w:hAnsi="仿宋_GB2312" w:eastAsia="仿宋_GB2312" w:cs="仿宋_GB2312"/>
          <w:sz w:val="32"/>
          <w:szCs w:val="32"/>
        </w:rPr>
        <w:t>开展安全风险隐患排查治理、安全生产技术改造、自动化控制系统建设、智能化信息化水平提升、先进安全科技成果运用</w:t>
      </w:r>
      <w:r>
        <w:rPr>
          <w:rFonts w:hint="eastAsia" w:ascii="仿宋_GB2312" w:hAnsi="仿宋_GB2312" w:eastAsia="仿宋_GB2312" w:cs="仿宋_GB2312"/>
          <w:sz w:val="32"/>
          <w:szCs w:val="32"/>
          <w:lang w:eastAsia="zh-CN"/>
        </w:rPr>
        <w:t>提供更多服务和支持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（三）加强督促检查，</w:t>
      </w:r>
      <w:r>
        <w:rPr>
          <w:rFonts w:hint="eastAsia" w:ascii="楷体_GB2312" w:hAnsi="楷体_GB2312" w:eastAsia="楷体_GB2312" w:cs="楷体_GB2312"/>
          <w:b/>
          <w:bCs/>
          <w:sz w:val="32"/>
          <w:szCs w:val="32"/>
        </w:rPr>
        <w:t>抓好督导服务。</w:t>
      </w:r>
      <w:r>
        <w:rPr>
          <w:rFonts w:hint="eastAsia" w:ascii="仿宋_GB2312" w:hAnsi="仿宋_GB2312" w:eastAsia="仿宋_GB2312" w:cs="仿宋_GB2312"/>
          <w:sz w:val="32"/>
          <w:szCs w:val="32"/>
        </w:rPr>
        <w:t>根据专项整治行动工作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和进度安排,</w:t>
      </w:r>
      <w:r>
        <w:rPr>
          <w:rFonts w:hint="eastAsia" w:ascii="仿宋_GB2312" w:hAnsi="仿宋_GB2312" w:eastAsia="仿宋_GB2312" w:cs="仿宋_GB2312"/>
          <w:sz w:val="32"/>
          <w:szCs w:val="32"/>
          <w:lang w:val="en-US" w:eastAsia="zh-CN"/>
        </w:rPr>
        <w:t>安监部门要</w:t>
      </w:r>
      <w:r>
        <w:rPr>
          <w:rFonts w:hint="eastAsia" w:ascii="仿宋_GB2312" w:hAnsi="仿宋_GB2312" w:eastAsia="仿宋_GB2312" w:cs="仿宋_GB2312"/>
          <w:sz w:val="32"/>
          <w:szCs w:val="32"/>
        </w:rPr>
        <w:t>适时进行督促、指导、检查,确保</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按计划完成各项重点任务。</w:t>
      </w:r>
      <w:r>
        <w:rPr>
          <w:rFonts w:hint="eastAsia" w:ascii="仿宋_GB2312" w:hAnsi="仿宋_GB2312" w:eastAsia="仿宋_GB2312" w:cs="仿宋_GB2312"/>
          <w:sz w:val="32"/>
          <w:szCs w:val="32"/>
          <w:lang w:eastAsia="zh-CN"/>
        </w:rPr>
        <w:t>同时，要</w:t>
      </w:r>
      <w:r>
        <w:rPr>
          <w:rFonts w:hint="eastAsia" w:ascii="仿宋_GB2312" w:hAnsi="仿宋_GB2312" w:eastAsia="仿宋_GB2312" w:cs="仿宋_GB2312"/>
          <w:sz w:val="32"/>
          <w:szCs w:val="32"/>
        </w:rPr>
        <w:t>充分发挥专家</w:t>
      </w:r>
      <w:r>
        <w:rPr>
          <w:rFonts w:hint="eastAsia" w:ascii="仿宋_GB2312" w:hAnsi="仿宋_GB2312" w:eastAsia="仿宋_GB2312" w:cs="仿宋_GB2312"/>
          <w:sz w:val="32"/>
          <w:szCs w:val="32"/>
          <w:lang w:val="en-US" w:eastAsia="zh-CN"/>
        </w:rPr>
        <w:t>会诊</w:t>
      </w:r>
      <w:r>
        <w:rPr>
          <w:rFonts w:hint="eastAsia" w:ascii="仿宋_GB2312" w:hAnsi="仿宋_GB2312" w:eastAsia="仿宋_GB2312" w:cs="仿宋_GB2312"/>
          <w:sz w:val="32"/>
          <w:szCs w:val="32"/>
        </w:rPr>
        <w:t>作用,组织专家深入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一线，帮助相关中小企业解决</w:t>
      </w:r>
      <w:r>
        <w:rPr>
          <w:rFonts w:hint="eastAsia" w:ascii="仿宋_GB2312" w:hAnsi="仿宋_GB2312" w:eastAsia="仿宋_GB2312" w:cs="仿宋_GB2312"/>
          <w:sz w:val="32"/>
          <w:szCs w:val="32"/>
          <w:lang w:eastAsia="zh-CN"/>
        </w:rPr>
        <w:t>化学工程</w:t>
      </w:r>
      <w:r>
        <w:rPr>
          <w:rFonts w:hint="eastAsia" w:ascii="仿宋_GB2312" w:hAnsi="仿宋_GB2312" w:eastAsia="仿宋_GB2312" w:cs="仿宋_GB2312"/>
          <w:sz w:val="32"/>
          <w:szCs w:val="32"/>
        </w:rPr>
        <w:t>安全管理、危险化工工艺自动化改造、重大危险源监控等重点任务推进过程中的难题,有效防范化解重大风险。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各有关部门和企业对重点任务和工作计划完成情况要实施评估,形成年度报告和三年行动报告并及时报</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安委会办公室。</w:t>
      </w:r>
    </w:p>
    <w:p>
      <w:pPr>
        <w:pStyle w:val="2"/>
        <w:rPr>
          <w:rFonts w:hint="eastAsia"/>
        </w:rPr>
      </w:pPr>
    </w:p>
    <w:p>
      <w:pPr>
        <w:pStyle w:val="7"/>
        <w:rPr>
          <w:rFonts w:hint="eastAsia" w:ascii="方正小标宋简体" w:hAnsi="方正小标宋简体" w:eastAsia="方正小标宋简体" w:cs="方正小标宋简体"/>
          <w:b/>
          <w:bCs/>
          <w:sz w:val="44"/>
          <w:szCs w:val="44"/>
          <w:highlight w:val="none"/>
          <w:lang w:val="en-US" w:eastAsia="zh-CN"/>
        </w:rPr>
      </w:pPr>
    </w:p>
    <w:p>
      <w:pPr>
        <w:pStyle w:val="7"/>
        <w:rPr>
          <w:rFonts w:hint="eastAsia" w:ascii="方正小标宋简体" w:hAnsi="方正小标宋简体" w:eastAsia="方正小标宋简体" w:cs="方正小标宋简体"/>
          <w:b/>
          <w:bCs/>
          <w:sz w:val="44"/>
          <w:szCs w:val="4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tabs>
          <w:tab w:val="center" w:pos="0"/>
          <w:tab w:val="clear" w:pos="4153"/>
        </w:tabs>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w w:val="90"/>
          <w:sz w:val="30"/>
          <w:szCs w:val="30"/>
          <w:u w:val="thick"/>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CAD38"/>
    <w:multiLevelType w:val="singleLevel"/>
    <w:tmpl w:val="999CAD38"/>
    <w:lvl w:ilvl="0" w:tentative="0">
      <w:start w:val="1"/>
      <w:numFmt w:val="chineseCounting"/>
      <w:suff w:val="nothing"/>
      <w:lvlText w:val="（%1）"/>
      <w:lvlJc w:val="left"/>
      <w:rPr>
        <w:rFonts w:hint="eastAsia"/>
      </w:rPr>
    </w:lvl>
  </w:abstractNum>
  <w:abstractNum w:abstractNumId="1">
    <w:nsid w:val="D776C455"/>
    <w:multiLevelType w:val="singleLevel"/>
    <w:tmpl w:val="D776C455"/>
    <w:lvl w:ilvl="0" w:tentative="0">
      <w:start w:val="2"/>
      <w:numFmt w:val="chineseCounting"/>
      <w:suff w:val="nothing"/>
      <w:lvlText w:val="%1、"/>
      <w:lvlJc w:val="left"/>
      <w:pPr>
        <w:ind w:left="693"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2D39"/>
    <w:rsid w:val="00A50DE1"/>
    <w:rsid w:val="014B4DD0"/>
    <w:rsid w:val="035B46AF"/>
    <w:rsid w:val="03BA6317"/>
    <w:rsid w:val="05985516"/>
    <w:rsid w:val="05AB3D48"/>
    <w:rsid w:val="06FB6FF0"/>
    <w:rsid w:val="07901105"/>
    <w:rsid w:val="08F719D2"/>
    <w:rsid w:val="09027030"/>
    <w:rsid w:val="09EC26CC"/>
    <w:rsid w:val="0AAC281A"/>
    <w:rsid w:val="0B7E0F5F"/>
    <w:rsid w:val="0BC23EB8"/>
    <w:rsid w:val="0D736A9C"/>
    <w:rsid w:val="0DF807B7"/>
    <w:rsid w:val="0E6B59BA"/>
    <w:rsid w:val="0EC7419F"/>
    <w:rsid w:val="0F281543"/>
    <w:rsid w:val="11500DA0"/>
    <w:rsid w:val="11952886"/>
    <w:rsid w:val="12DE5022"/>
    <w:rsid w:val="13352E96"/>
    <w:rsid w:val="134977A4"/>
    <w:rsid w:val="138531CE"/>
    <w:rsid w:val="13B82885"/>
    <w:rsid w:val="140F349F"/>
    <w:rsid w:val="14435127"/>
    <w:rsid w:val="14C82832"/>
    <w:rsid w:val="15CE54A2"/>
    <w:rsid w:val="16436E0E"/>
    <w:rsid w:val="17E573D4"/>
    <w:rsid w:val="18DE211F"/>
    <w:rsid w:val="193877F4"/>
    <w:rsid w:val="199D31BD"/>
    <w:rsid w:val="19D73F9C"/>
    <w:rsid w:val="1B2C42CD"/>
    <w:rsid w:val="1B63522C"/>
    <w:rsid w:val="1BD539A8"/>
    <w:rsid w:val="1C5B1A1C"/>
    <w:rsid w:val="1D240A1C"/>
    <w:rsid w:val="1E9A132C"/>
    <w:rsid w:val="1F9831C8"/>
    <w:rsid w:val="1FA5758C"/>
    <w:rsid w:val="217D3773"/>
    <w:rsid w:val="21FB558D"/>
    <w:rsid w:val="220F73F2"/>
    <w:rsid w:val="22571717"/>
    <w:rsid w:val="266A1403"/>
    <w:rsid w:val="26936793"/>
    <w:rsid w:val="272135A9"/>
    <w:rsid w:val="2B574474"/>
    <w:rsid w:val="2C730AC9"/>
    <w:rsid w:val="2C90662B"/>
    <w:rsid w:val="2D1061E6"/>
    <w:rsid w:val="2D5041EC"/>
    <w:rsid w:val="2E0212C8"/>
    <w:rsid w:val="2F1166BC"/>
    <w:rsid w:val="2F385F16"/>
    <w:rsid w:val="317017F5"/>
    <w:rsid w:val="326F1D4E"/>
    <w:rsid w:val="33EB0645"/>
    <w:rsid w:val="36CA7762"/>
    <w:rsid w:val="37296C6F"/>
    <w:rsid w:val="390E60A1"/>
    <w:rsid w:val="39916525"/>
    <w:rsid w:val="3B395243"/>
    <w:rsid w:val="3B465A4C"/>
    <w:rsid w:val="3B53794C"/>
    <w:rsid w:val="3C0A1E2F"/>
    <w:rsid w:val="3D2354C2"/>
    <w:rsid w:val="3F247CBB"/>
    <w:rsid w:val="3F3A1A10"/>
    <w:rsid w:val="3FE04268"/>
    <w:rsid w:val="40530EAF"/>
    <w:rsid w:val="409722E3"/>
    <w:rsid w:val="41492A90"/>
    <w:rsid w:val="41A42B26"/>
    <w:rsid w:val="4412448E"/>
    <w:rsid w:val="44D0099F"/>
    <w:rsid w:val="4529390E"/>
    <w:rsid w:val="45357325"/>
    <w:rsid w:val="454C4225"/>
    <w:rsid w:val="45C2107F"/>
    <w:rsid w:val="46420C7F"/>
    <w:rsid w:val="494061D5"/>
    <w:rsid w:val="4A3E658B"/>
    <w:rsid w:val="4AB67801"/>
    <w:rsid w:val="4AF42615"/>
    <w:rsid w:val="4B184599"/>
    <w:rsid w:val="4B4D31DD"/>
    <w:rsid w:val="4B503CEA"/>
    <w:rsid w:val="4C8A678F"/>
    <w:rsid w:val="4D32062E"/>
    <w:rsid w:val="4D621CD6"/>
    <w:rsid w:val="4EBB2168"/>
    <w:rsid w:val="4F7A33A6"/>
    <w:rsid w:val="4F9A7A6D"/>
    <w:rsid w:val="505F6156"/>
    <w:rsid w:val="52C722C9"/>
    <w:rsid w:val="5563406E"/>
    <w:rsid w:val="56644705"/>
    <w:rsid w:val="5876201E"/>
    <w:rsid w:val="59E020DA"/>
    <w:rsid w:val="5A346541"/>
    <w:rsid w:val="5B5C55AF"/>
    <w:rsid w:val="5C6110CF"/>
    <w:rsid w:val="5C8313B0"/>
    <w:rsid w:val="5CB44F07"/>
    <w:rsid w:val="5DE27F91"/>
    <w:rsid w:val="5F2F4E05"/>
    <w:rsid w:val="5F661583"/>
    <w:rsid w:val="60933526"/>
    <w:rsid w:val="60BF5A90"/>
    <w:rsid w:val="625D1065"/>
    <w:rsid w:val="63AA5B60"/>
    <w:rsid w:val="65DD0156"/>
    <w:rsid w:val="67E635E1"/>
    <w:rsid w:val="692977F0"/>
    <w:rsid w:val="6B670BEC"/>
    <w:rsid w:val="6BD84E19"/>
    <w:rsid w:val="6D59710F"/>
    <w:rsid w:val="6FF26DF8"/>
    <w:rsid w:val="70153E74"/>
    <w:rsid w:val="702E6032"/>
    <w:rsid w:val="70887406"/>
    <w:rsid w:val="71574A27"/>
    <w:rsid w:val="7172203D"/>
    <w:rsid w:val="71E92A38"/>
    <w:rsid w:val="73767CA9"/>
    <w:rsid w:val="74BF08F5"/>
    <w:rsid w:val="77756B84"/>
    <w:rsid w:val="777A441B"/>
    <w:rsid w:val="79827ED7"/>
    <w:rsid w:val="7A4F7953"/>
    <w:rsid w:val="7A7B2D39"/>
    <w:rsid w:val="7AF15A74"/>
    <w:rsid w:val="7B19761F"/>
    <w:rsid w:val="7B492CE3"/>
    <w:rsid w:val="7B5065DB"/>
    <w:rsid w:val="7B7D42FA"/>
    <w:rsid w:val="7BC17E80"/>
    <w:rsid w:val="7BD62816"/>
    <w:rsid w:val="7BE877EC"/>
    <w:rsid w:val="7CC664E1"/>
    <w:rsid w:val="7DD24646"/>
    <w:rsid w:val="7E515266"/>
    <w:rsid w:val="7E525F6D"/>
    <w:rsid w:val="7E8C0746"/>
    <w:rsid w:val="7EF45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idowControl w:val="0"/>
      <w:ind w:left="840"/>
      <w:jc w:val="both"/>
    </w:pPr>
    <w:rPr>
      <w:rFonts w:asciiTheme="minorHAnsi" w:hAnsiTheme="minorHAnsi" w:eastAsiaTheme="minorEastAsia" w:cstheme="minorBidi"/>
      <w:kern w:val="2"/>
      <w:sz w:val="21"/>
      <w:szCs w:val="24"/>
      <w:lang w:val="en-US" w:eastAsia="zh-CN" w:bidi="ar-SA"/>
    </w:rPr>
  </w:style>
  <w:style w:type="paragraph" w:styleId="3">
    <w:name w:val="Body Text Indent"/>
    <w:basedOn w:val="1"/>
    <w:qFormat/>
    <w:uiPriority w:val="1624"/>
    <w:pPr>
      <w:spacing w:line="560" w:lineRule="exact"/>
      <w:ind w:firstLine="560" w:firstLineChars="200"/>
    </w:pPr>
    <w:rPr>
      <w:rFonts w:eastAsia="仿宋_GB2312"/>
      <w:sz w:val="28"/>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widowControl/>
      <w:ind w:firstLine="420" w:firstLineChars="200"/>
      <w:jc w:val="left"/>
    </w:pPr>
    <w:rPr>
      <w:rFonts w:eastAsia="仿宋_GB2312"/>
      <w:kern w:val="0"/>
      <w:sz w:val="32"/>
      <w:szCs w:val="32"/>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2020-06-03T01:27:00Z</dcterms:created>
  <dc:creator>热爱TF</dc:creator>
  <cp:lastModifiedBy>DUWENJUN.</cp:lastModifiedBy>
  <cp:lastPrinted>2020-07-14T02:33:00Z</cp:lastPrinted>
  <dcterms:modified xsi:type="dcterms:W3CDTF">2021-02-03T03:39:02Z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