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widowControl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兰州新区互联网租赁自行车停放秩序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val="en-US" w:eastAsia="zh-CN"/>
        </w:rPr>
        <w:t>管理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考核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val="en-US" w:eastAsia="zh-CN"/>
        </w:rPr>
        <w:t>实施细则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 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依据《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兰州新区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互联网租赁自行车停放秩序管理办法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试行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》的规定，结合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兰州新区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实际，制定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本实施细则。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color w:val="333333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一、考核原则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兰州新区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互联网租赁自行车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以下简称“共享单车”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停放秩序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考核坚持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公正客观、公平合理、公开透明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原则。</w:t>
      </w:r>
    </w:p>
    <w:p>
      <w:pPr>
        <w:pStyle w:val="4"/>
        <w:widowControl/>
        <w:spacing w:beforeAutospacing="0" w:afterAutospacing="0"/>
        <w:jc w:val="both"/>
        <w:rPr>
          <w:rFonts w:hint="eastAsia"/>
          <w:color w:val="333333"/>
        </w:rPr>
      </w:pPr>
      <w:r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  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     二、考核对象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hint="eastAsia"/>
          <w:color w:val="333333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新区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和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园区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城市管理部门是实施考核的主体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；在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新区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投放运营共享单车的运营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企业是被考核的对象。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三、考核方式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 w:eastAsia="仿宋_GB2312"/>
          <w:color w:val="333333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（一）新区考核。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城市管理部门牵头，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新区有关部门参加，采取日常巡查、专项检查或第三方测评等方式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考核分数占最终考核分数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比例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0%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（二）园区考核。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园区城市管理部门牵头，园区有关部门参加，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每月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开展联合考核。每次考核应不少于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条街道，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且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应包含以下其中一处点位：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住宅小区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公交站点、商业繁华区、旅游景点、医院或学校。当月考核结果应于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每月末最后一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日前报送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城市管理部门。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园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考核分数占最终考核分数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比例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0%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1"/>
        <w:jc w:val="both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（三）结果运用。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新区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城市管理部门根据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园区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城市管理部门报送的当月考核结果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综合打分排名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考核结果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应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向运营企业通报，每月不少于一次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考核采取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百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分制，优秀档次为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-100分，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良好为80-89分，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合格为70-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79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分，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不合格为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70分以下，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并在新闻媒体公布，考核结果抄送有关部门，纳入企业信用管理体系。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四、评分标准</w:t>
      </w:r>
    </w:p>
    <w:p>
      <w:pPr>
        <w:widowControl/>
        <w:rPr>
          <w:rFonts w:hint="eastAsia"/>
          <w:color w:val="333333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共享单车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停放秩序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考核实行百分制，按照《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兰州新区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互联网租赁自行车停放秩序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考核评分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标准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规定进行扣分。</w:t>
      </w:r>
    </w:p>
    <w:p>
      <w:pPr>
        <w:pStyle w:val="4"/>
        <w:widowControl/>
        <w:spacing w:beforeAutospacing="0" w:afterAutospacing="0"/>
        <w:jc w:val="both"/>
        <w:rPr>
          <w:rFonts w:hint="eastAsia"/>
          <w:color w:val="333333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   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   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 五、考核内容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/>
          <w:color w:val="333333"/>
        </w:rPr>
      </w:pP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共享单车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停放秩序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考核包括以下内容：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（一）宏观管理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运营企业是否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按照《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兰州新区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互联网租赁自行车停放秩序管理办法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试行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》要求履行监管职责。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/>
          <w:color w:val="333333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（二）微观管理。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共享单车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是否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按照《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兰州新区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互联网租赁自行车停放秩序管理办法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试行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》要求停放。</w:t>
      </w:r>
    </w:p>
    <w:p>
      <w:pPr>
        <w:pStyle w:val="4"/>
        <w:widowControl/>
        <w:spacing w:beforeAutospacing="0" w:afterAutospacing="0"/>
        <w:ind w:firstLine="627"/>
        <w:jc w:val="both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（三）应急管理。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遇特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殊紧急情况发生时，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运营企业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是否能服从监管部门的要求，做好相关工作。</w:t>
      </w:r>
    </w:p>
    <w:p>
      <w:pPr>
        <w:pStyle w:val="4"/>
        <w:widowControl/>
        <w:spacing w:beforeAutospacing="0" w:afterAutospacing="0"/>
        <w:ind w:firstLine="640"/>
        <w:jc w:val="both"/>
        <w:rPr>
          <w:rFonts w:hint="eastAsia"/>
          <w:color w:val="333333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（四）社会评价。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运营企业是否存在被群众举报、媒体曝光和领导点名批评的现象。</w:t>
      </w:r>
    </w:p>
    <w:p>
      <w:pPr>
        <w:pStyle w:val="4"/>
        <w:widowControl/>
        <w:spacing w:beforeAutospacing="0" w:afterAutospacing="0"/>
        <w:jc w:val="both"/>
        <w:rPr>
          <w:rFonts w:hint="eastAsia"/>
          <w:color w:val="333333"/>
        </w:rPr>
      </w:pPr>
      <w:r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 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      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、责任追究</w:t>
      </w:r>
    </w:p>
    <w:p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1"/>
        <w:jc w:val="both"/>
        <w:textAlignment w:val="auto"/>
        <w:rPr>
          <w:rFonts w:hint="eastAsia"/>
          <w:color w:val="auto"/>
        </w:rPr>
      </w:pP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园区城市管理部门对辖区内每月考核评分最低的运营企业进行约谈;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连续3次或全年4次考核评分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低于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0分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的运营企业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在次年度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应采取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区域禁停、总量限制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、信用管理等措施。</w:t>
      </w:r>
    </w:p>
    <w:p>
      <w:pPr>
        <w:pStyle w:val="4"/>
        <w:widowControl/>
        <w:shd w:val="clear" w:color="auto"/>
        <w:spacing w:beforeAutospacing="0" w:afterAutospacing="0"/>
        <w:ind w:firstLine="640"/>
        <w:jc w:val="both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新区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城市管理部门将对每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季度</w:t>
      </w:r>
      <w:r>
        <w:rPr>
          <w:rFonts w:ascii="仿宋_GB2312" w:hAnsi="微软雅黑" w:eastAsia="仿宋_GB2312" w:cs="仿宋_GB2312"/>
          <w:color w:val="auto"/>
          <w:sz w:val="32"/>
          <w:szCs w:val="32"/>
          <w:shd w:val="clear" w:color="auto" w:fill="FFFFFF"/>
        </w:rPr>
        <w:t>考核评分最低的运营企业当面约谈，提出通报批评并在新闻媒体上进行公布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/>
        <w:spacing w:beforeAutospacing="0" w:afterAutospacing="0"/>
        <w:ind w:firstLine="64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、其他事项</w:t>
      </w:r>
    </w:p>
    <w:p>
      <w:pPr>
        <w:widowControl/>
        <w:ind w:firstLine="627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实施细则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自发布之日起施行，有效期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运营企业</w:t>
      </w:r>
      <w:r>
        <w:rPr>
          <w:rFonts w:hint="eastAsia" w:ascii="仿宋_GB2312" w:eastAsia="仿宋_GB2312"/>
          <w:sz w:val="32"/>
          <w:szCs w:val="32"/>
        </w:rPr>
        <w:t>投放的互联网租赁电动自行车的停放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秩序管理考核参</w:t>
      </w:r>
      <w:r>
        <w:rPr>
          <w:rFonts w:hint="eastAsia" w:ascii="仿宋_GB2312" w:eastAsia="仿宋_GB2312"/>
          <w:sz w:val="32"/>
          <w:szCs w:val="32"/>
        </w:rPr>
        <w:t>照本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eastAsia="仿宋_GB2312"/>
          <w:sz w:val="32"/>
          <w:szCs w:val="32"/>
        </w:rPr>
        <w:t>执行。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6CB1"/>
    <w:rsid w:val="03841619"/>
    <w:rsid w:val="081015F1"/>
    <w:rsid w:val="0B801009"/>
    <w:rsid w:val="15612966"/>
    <w:rsid w:val="1B9D6223"/>
    <w:rsid w:val="27223FD6"/>
    <w:rsid w:val="396E41C9"/>
    <w:rsid w:val="3D5529C2"/>
    <w:rsid w:val="3F2B1085"/>
    <w:rsid w:val="439F2721"/>
    <w:rsid w:val="46FC66BB"/>
    <w:rsid w:val="46FD7FE1"/>
    <w:rsid w:val="479E4102"/>
    <w:rsid w:val="501F4AC7"/>
    <w:rsid w:val="5977056B"/>
    <w:rsid w:val="5B7E0A37"/>
    <w:rsid w:val="5DFE0483"/>
    <w:rsid w:val="69365324"/>
    <w:rsid w:val="6AC2203A"/>
    <w:rsid w:val="7F1205C7"/>
    <w:rsid w:val="7F470AC5"/>
    <w:rsid w:val="7F9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2020-08-12T05:43:00Z</dcterms:created>
  <dc:creator>Administrator.PC-201705271221</dc:creator>
  <cp:lastModifiedBy>FJY</cp:lastModifiedBy>
  <cp:lastPrinted>2020-08-19T08:22:00Z</cp:lastPrinted>
  <dcterms:modified xsi:type="dcterms:W3CDTF">2020-11-04T01:45:13Z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